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C5" w:rsidRPr="00E705C5" w:rsidRDefault="00E705C5" w:rsidP="00E705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05C5">
        <w:rPr>
          <w:rFonts w:ascii="Arial" w:hAnsi="Arial" w:cs="Arial"/>
          <w:b/>
          <w:sz w:val="24"/>
          <w:szCs w:val="24"/>
          <w:u w:val="single"/>
        </w:rPr>
        <w:t>Briefing note on the</w:t>
      </w:r>
      <w:r>
        <w:rPr>
          <w:rFonts w:ascii="Arial" w:hAnsi="Arial" w:cs="Arial"/>
          <w:b/>
          <w:sz w:val="24"/>
          <w:szCs w:val="24"/>
          <w:u w:val="single"/>
        </w:rPr>
        <w:t xml:space="preserve"> General Fund Medium Term Financial Plan Refresh</w:t>
      </w:r>
    </w:p>
    <w:p w:rsidR="00E705C5" w:rsidRPr="00E705C5" w:rsidRDefault="00E705C5" w:rsidP="00E70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5C5" w:rsidRPr="00E705C5" w:rsidRDefault="00E705C5" w:rsidP="00E705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705C5">
        <w:rPr>
          <w:rFonts w:ascii="Arial" w:hAnsi="Arial" w:cs="Arial"/>
          <w:b/>
          <w:sz w:val="24"/>
          <w:szCs w:val="24"/>
        </w:rPr>
        <w:t>To</w:t>
      </w:r>
      <w:r w:rsidRPr="00E705C5">
        <w:rPr>
          <w:rFonts w:ascii="Arial" w:hAnsi="Arial" w:cs="Arial"/>
          <w:b/>
          <w:sz w:val="24"/>
          <w:szCs w:val="24"/>
        </w:rPr>
        <w:tab/>
      </w:r>
      <w:r w:rsidRPr="00E705C5">
        <w:rPr>
          <w:rFonts w:ascii="Arial" w:hAnsi="Arial" w:cs="Arial"/>
          <w:b/>
          <w:sz w:val="24"/>
          <w:szCs w:val="24"/>
        </w:rPr>
        <w:tab/>
      </w:r>
      <w:r w:rsidR="00D12501">
        <w:rPr>
          <w:rFonts w:ascii="Arial" w:hAnsi="Arial" w:cs="Arial"/>
          <w:b/>
          <w:sz w:val="24"/>
          <w:szCs w:val="24"/>
        </w:rPr>
        <w:t xml:space="preserve">Cross Party </w:t>
      </w:r>
      <w:r w:rsidR="00784173">
        <w:rPr>
          <w:rFonts w:ascii="Arial" w:hAnsi="Arial" w:cs="Arial"/>
          <w:b/>
          <w:sz w:val="24"/>
          <w:szCs w:val="24"/>
        </w:rPr>
        <w:t>Working Group</w:t>
      </w:r>
    </w:p>
    <w:p w:rsidR="00E705C5" w:rsidRPr="00E705C5" w:rsidRDefault="00E705C5" w:rsidP="00E705C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705C5" w:rsidRPr="00E705C5" w:rsidRDefault="00E705C5" w:rsidP="00E70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05C5">
        <w:rPr>
          <w:rFonts w:ascii="Arial" w:hAnsi="Arial" w:cs="Arial"/>
          <w:b/>
          <w:sz w:val="24"/>
          <w:szCs w:val="24"/>
        </w:rPr>
        <w:t>From</w:t>
      </w:r>
      <w:r w:rsidRPr="00E705C5">
        <w:rPr>
          <w:rFonts w:ascii="Arial" w:hAnsi="Arial" w:cs="Arial"/>
          <w:b/>
          <w:sz w:val="24"/>
          <w:szCs w:val="24"/>
        </w:rPr>
        <w:tab/>
      </w:r>
      <w:r w:rsidRPr="00E705C5">
        <w:rPr>
          <w:rFonts w:ascii="Arial" w:hAnsi="Arial" w:cs="Arial"/>
          <w:b/>
          <w:sz w:val="24"/>
          <w:szCs w:val="24"/>
        </w:rPr>
        <w:tab/>
        <w:t>Nigel Kennedy, Head of Financial Services</w:t>
      </w:r>
    </w:p>
    <w:p w:rsidR="00E705C5" w:rsidRPr="00E705C5" w:rsidRDefault="00E705C5" w:rsidP="00E70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05C5" w:rsidRPr="00E705C5" w:rsidRDefault="00D12501" w:rsidP="00F7158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</w:t>
      </w:r>
      <w:r w:rsidR="00784173">
        <w:rPr>
          <w:rFonts w:ascii="Arial" w:hAnsi="Arial" w:cs="Arial"/>
          <w:b/>
          <w:sz w:val="24"/>
          <w:szCs w:val="24"/>
        </w:rPr>
        <w:t>9</w:t>
      </w:r>
      <w:r w:rsidRPr="00D12501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 201</w:t>
      </w:r>
      <w:r w:rsidR="00784173">
        <w:rPr>
          <w:rFonts w:ascii="Arial" w:hAnsi="Arial" w:cs="Arial"/>
          <w:b/>
          <w:sz w:val="24"/>
          <w:szCs w:val="24"/>
        </w:rPr>
        <w:t>5</w:t>
      </w:r>
    </w:p>
    <w:p w:rsidR="00E705C5" w:rsidRPr="00E705C5" w:rsidRDefault="00E705C5" w:rsidP="00E705C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C66D9" w:rsidRPr="009C7624" w:rsidRDefault="00BC66D9" w:rsidP="00BC66D9">
      <w:pPr>
        <w:rPr>
          <w:rFonts w:ascii="Arial" w:hAnsi="Arial" w:cs="Arial"/>
          <w:b/>
          <w:sz w:val="24"/>
          <w:szCs w:val="24"/>
        </w:rPr>
      </w:pPr>
      <w:r w:rsidRPr="009C7624">
        <w:rPr>
          <w:rFonts w:ascii="Arial" w:hAnsi="Arial" w:cs="Arial"/>
          <w:b/>
          <w:sz w:val="24"/>
          <w:szCs w:val="24"/>
        </w:rPr>
        <w:t>Introduction</w:t>
      </w:r>
    </w:p>
    <w:p w:rsidR="0060381F" w:rsidRPr="00561108" w:rsidRDefault="00142A99" w:rsidP="00BC66D9">
      <w:p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At Council on </w:t>
      </w:r>
      <w:r w:rsidR="00E705C5" w:rsidRPr="00561108">
        <w:rPr>
          <w:rFonts w:ascii="Arial" w:hAnsi="Arial" w:cs="Arial"/>
          <w:sz w:val="24"/>
          <w:szCs w:val="24"/>
        </w:rPr>
        <w:t>18</w:t>
      </w:r>
      <w:r w:rsidR="00E705C5" w:rsidRPr="00561108">
        <w:rPr>
          <w:rFonts w:ascii="Arial" w:hAnsi="Arial" w:cs="Arial"/>
          <w:sz w:val="24"/>
          <w:szCs w:val="24"/>
          <w:vertAlign w:val="superscript"/>
        </w:rPr>
        <w:t>th</w:t>
      </w:r>
      <w:r w:rsidR="00E705C5" w:rsidRPr="00561108">
        <w:rPr>
          <w:rFonts w:ascii="Arial" w:hAnsi="Arial" w:cs="Arial"/>
          <w:sz w:val="24"/>
          <w:szCs w:val="24"/>
        </w:rPr>
        <w:t xml:space="preserve"> </w:t>
      </w:r>
      <w:r w:rsidRPr="00561108">
        <w:rPr>
          <w:rFonts w:ascii="Arial" w:hAnsi="Arial" w:cs="Arial"/>
          <w:sz w:val="24"/>
          <w:szCs w:val="24"/>
        </w:rPr>
        <w:t xml:space="preserve">February 2015 Members approved the Budget for 2015-16 and Medium Term Financial Plan for 2016-17 to 2018-19. The summary figures </w:t>
      </w:r>
      <w:r w:rsidR="00FD22A4">
        <w:rPr>
          <w:rFonts w:ascii="Arial" w:hAnsi="Arial" w:cs="Arial"/>
          <w:sz w:val="24"/>
          <w:szCs w:val="24"/>
        </w:rPr>
        <w:t>were</w:t>
      </w:r>
      <w:r w:rsidRPr="00561108">
        <w:rPr>
          <w:rFonts w:ascii="Arial" w:hAnsi="Arial" w:cs="Arial"/>
          <w:sz w:val="24"/>
          <w:szCs w:val="24"/>
        </w:rPr>
        <w:t xml:space="preserve"> as follows :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2709"/>
        <w:gridCol w:w="1559"/>
        <w:gridCol w:w="1276"/>
        <w:gridCol w:w="1275"/>
        <w:gridCol w:w="1560"/>
      </w:tblGrid>
      <w:tr w:rsidR="0060381F" w:rsidRPr="00561108" w:rsidTr="00722268">
        <w:trPr>
          <w:trHeight w:val="300"/>
        </w:trPr>
        <w:tc>
          <w:tcPr>
            <w:tcW w:w="83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81F" w:rsidRPr="0060381F" w:rsidRDefault="0060381F" w:rsidP="0060381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60381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Table 1 : General Fund Medium Term Financial Plan at February 2015</w:t>
            </w:r>
          </w:p>
        </w:tc>
      </w:tr>
      <w:tr w:rsidR="00DF50CA" w:rsidRPr="00561108" w:rsidTr="00DF50CA">
        <w:trPr>
          <w:trHeight w:val="300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2015-16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2016-17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2017-18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2018-19</w:t>
            </w:r>
          </w:p>
        </w:tc>
      </w:tr>
      <w:tr w:rsidR="00DF50CA" w:rsidRPr="00561108" w:rsidTr="00DF50C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£000’s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£000’s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£000’s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£000’s</w:t>
            </w:r>
          </w:p>
        </w:tc>
      </w:tr>
      <w:tr w:rsidR="00DF50CA" w:rsidRPr="00561108" w:rsidTr="00DF50C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Net expenditure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23,304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21,611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20,501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20,077</w:t>
            </w:r>
          </w:p>
        </w:tc>
      </w:tr>
      <w:tr w:rsidR="00DF50CA" w:rsidRPr="00561108" w:rsidTr="00DF50CA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F50CA" w:rsidRPr="00561108" w:rsidTr="00DF50CA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(12,187)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(12,141)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(12,385)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(12,696)</w:t>
            </w:r>
          </w:p>
        </w:tc>
      </w:tr>
      <w:tr w:rsidR="00DF50CA" w:rsidRPr="00561108" w:rsidTr="00DF50CA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Business Rates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(6,654)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(6,515)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(6,638)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(7,381)</w:t>
            </w:r>
          </w:p>
        </w:tc>
      </w:tr>
      <w:tr w:rsidR="00DF50CA" w:rsidRPr="00561108" w:rsidTr="00DF50C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RSG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(4,463)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(2,955)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(1,478)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F50CA" w:rsidRPr="00561108" w:rsidTr="00DF50C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(23,304)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(21,611)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(20,501)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(20,077)</w:t>
            </w:r>
          </w:p>
        </w:tc>
      </w:tr>
      <w:tr w:rsidR="00DF50CA" w:rsidRPr="00561108" w:rsidTr="00DF50CA">
        <w:trPr>
          <w:trHeight w:val="31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DF50CA" w:rsidRPr="00561108" w:rsidTr="00DF50CA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Deficit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0CA" w:rsidRPr="00561108" w:rsidRDefault="00DF50CA" w:rsidP="00E705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6110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</w:tr>
    </w:tbl>
    <w:p w:rsidR="00FD22A4" w:rsidRDefault="00FD22A4" w:rsidP="00BC66D9">
      <w:pPr>
        <w:rPr>
          <w:rFonts w:ascii="Arial" w:hAnsi="Arial" w:cs="Arial"/>
          <w:sz w:val="24"/>
          <w:szCs w:val="24"/>
        </w:rPr>
      </w:pPr>
    </w:p>
    <w:p w:rsidR="006C3F88" w:rsidRPr="00561108" w:rsidRDefault="006C3F88" w:rsidP="00BC66D9">
      <w:p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Key assumptions include:</w:t>
      </w:r>
    </w:p>
    <w:p w:rsidR="006C3F88" w:rsidRPr="00561108" w:rsidRDefault="006C3F88" w:rsidP="00BC66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Nil New Homes Bonus with effect from 1</w:t>
      </w:r>
      <w:r w:rsidRPr="00561108">
        <w:rPr>
          <w:rFonts w:ascii="Arial" w:hAnsi="Arial" w:cs="Arial"/>
          <w:sz w:val="24"/>
          <w:szCs w:val="24"/>
          <w:vertAlign w:val="superscript"/>
        </w:rPr>
        <w:t>st</w:t>
      </w:r>
      <w:r w:rsidRPr="00561108">
        <w:rPr>
          <w:rFonts w:ascii="Arial" w:hAnsi="Arial" w:cs="Arial"/>
          <w:sz w:val="24"/>
          <w:szCs w:val="24"/>
        </w:rPr>
        <w:t xml:space="preserve"> April 2018</w:t>
      </w:r>
    </w:p>
    <w:p w:rsidR="00AD3C21" w:rsidRPr="00561108" w:rsidRDefault="00AD3C21" w:rsidP="00BC66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RSG is zero from 1</w:t>
      </w:r>
      <w:r w:rsidRPr="00561108">
        <w:rPr>
          <w:rFonts w:ascii="Arial" w:hAnsi="Arial" w:cs="Arial"/>
          <w:sz w:val="24"/>
          <w:szCs w:val="24"/>
          <w:vertAlign w:val="superscript"/>
        </w:rPr>
        <w:t>st</w:t>
      </w:r>
      <w:r w:rsidRPr="00561108">
        <w:rPr>
          <w:rFonts w:ascii="Arial" w:hAnsi="Arial" w:cs="Arial"/>
          <w:sz w:val="24"/>
          <w:szCs w:val="24"/>
        </w:rPr>
        <w:t xml:space="preserve"> April 2018, the Homelessness grant and Council Tax Reduction scheme funding received with in this, are also reducing to zero in 2018/19, however the related expenditure to these elements of the grant are still being budgeted for. </w:t>
      </w:r>
    </w:p>
    <w:p w:rsidR="006C3F88" w:rsidRPr="00561108" w:rsidRDefault="006C3F88" w:rsidP="00BC66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Council tax increase</w:t>
      </w:r>
      <w:r w:rsidR="00E705C5" w:rsidRPr="00561108">
        <w:rPr>
          <w:rFonts w:ascii="Arial" w:hAnsi="Arial" w:cs="Arial"/>
          <w:sz w:val="24"/>
          <w:szCs w:val="24"/>
        </w:rPr>
        <w:t>s</w:t>
      </w:r>
      <w:r w:rsidRPr="00561108">
        <w:rPr>
          <w:rFonts w:ascii="Arial" w:hAnsi="Arial" w:cs="Arial"/>
          <w:sz w:val="24"/>
          <w:szCs w:val="24"/>
        </w:rPr>
        <w:t xml:space="preserve"> of </w:t>
      </w:r>
      <w:r w:rsidR="00E705C5" w:rsidRPr="00561108">
        <w:rPr>
          <w:rFonts w:ascii="Arial" w:hAnsi="Arial" w:cs="Arial"/>
          <w:sz w:val="24"/>
          <w:szCs w:val="24"/>
        </w:rPr>
        <w:t>1.99% in 2015/16 and 1.5% thereafter</w:t>
      </w:r>
    </w:p>
    <w:p w:rsidR="006C3F88" w:rsidRPr="00561108" w:rsidRDefault="006C3F88" w:rsidP="00BC66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Revenue contributions to capital </w:t>
      </w:r>
      <w:r w:rsidR="00E705C5" w:rsidRPr="00561108">
        <w:rPr>
          <w:rFonts w:ascii="Arial" w:hAnsi="Arial" w:cs="Arial"/>
          <w:sz w:val="24"/>
          <w:szCs w:val="24"/>
        </w:rPr>
        <w:t>of £4.8 million in 2015/16, £6.2 million in 2016/17, £5.3 million in 2017/18 and £1.7 million in 2018/19</w:t>
      </w:r>
    </w:p>
    <w:p w:rsidR="006C3F88" w:rsidRPr="00561108" w:rsidRDefault="006C3F88" w:rsidP="00BC66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N</w:t>
      </w:r>
      <w:r w:rsidR="006D3A5A" w:rsidRPr="00561108">
        <w:rPr>
          <w:rFonts w:ascii="Arial" w:hAnsi="Arial" w:cs="Arial"/>
          <w:sz w:val="24"/>
          <w:szCs w:val="24"/>
        </w:rPr>
        <w:t xml:space="preserve">o additional </w:t>
      </w:r>
      <w:r w:rsidRPr="00561108">
        <w:rPr>
          <w:rFonts w:ascii="Arial" w:hAnsi="Arial" w:cs="Arial"/>
          <w:sz w:val="24"/>
          <w:szCs w:val="24"/>
        </w:rPr>
        <w:t xml:space="preserve">borrowing to fund capital </w:t>
      </w:r>
      <w:r w:rsidR="006D3A5A" w:rsidRPr="00561108">
        <w:rPr>
          <w:rFonts w:ascii="Arial" w:hAnsi="Arial" w:cs="Arial"/>
          <w:sz w:val="24"/>
          <w:szCs w:val="24"/>
        </w:rPr>
        <w:t>expenditure</w:t>
      </w:r>
    </w:p>
    <w:p w:rsidR="006C3F88" w:rsidRPr="00561108" w:rsidRDefault="006D3A5A" w:rsidP="006D3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Investment interest rates used were 1.8% / 2.3% / 2.5% / 2.75% for the four years from 15/16 (including property fund investments)</w:t>
      </w:r>
    </w:p>
    <w:p w:rsidR="004B554E" w:rsidRPr="00561108" w:rsidRDefault="004B554E" w:rsidP="006D3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Estimate </w:t>
      </w:r>
      <w:r w:rsidR="004C194F" w:rsidRPr="00561108">
        <w:rPr>
          <w:rFonts w:ascii="Arial" w:hAnsi="Arial" w:cs="Arial"/>
          <w:sz w:val="24"/>
          <w:szCs w:val="24"/>
        </w:rPr>
        <w:t xml:space="preserve">of £400k </w:t>
      </w:r>
      <w:r w:rsidRPr="00561108">
        <w:rPr>
          <w:rFonts w:ascii="Arial" w:hAnsi="Arial" w:cs="Arial"/>
          <w:sz w:val="24"/>
          <w:szCs w:val="24"/>
        </w:rPr>
        <w:t>include</w:t>
      </w:r>
      <w:r w:rsidR="004C194F" w:rsidRPr="00561108">
        <w:rPr>
          <w:rFonts w:ascii="Arial" w:hAnsi="Arial" w:cs="Arial"/>
          <w:sz w:val="24"/>
          <w:szCs w:val="24"/>
        </w:rPr>
        <w:t>d</w:t>
      </w:r>
      <w:r w:rsidRPr="00561108">
        <w:rPr>
          <w:rFonts w:ascii="Arial" w:hAnsi="Arial" w:cs="Arial"/>
          <w:sz w:val="24"/>
          <w:szCs w:val="24"/>
        </w:rPr>
        <w:t xml:space="preserve"> for changes to National Insurance from 2016/17, which is the removal of the 3.4% contracted out</w:t>
      </w:r>
      <w:r w:rsidR="004C194F" w:rsidRPr="00561108">
        <w:rPr>
          <w:rFonts w:ascii="Arial" w:hAnsi="Arial" w:cs="Arial"/>
          <w:sz w:val="24"/>
          <w:szCs w:val="24"/>
        </w:rPr>
        <w:t xml:space="preserve"> scheme rebate, further work on this estimate will be required once the new establishments have been finalised.</w:t>
      </w:r>
    </w:p>
    <w:p w:rsidR="00B22A84" w:rsidRPr="00561108" w:rsidRDefault="00B22A84" w:rsidP="006D3A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lastRenderedPageBreak/>
        <w:t>Pay awards at 1.5%</w:t>
      </w:r>
      <w:r w:rsidR="000C1FB4" w:rsidRPr="00561108">
        <w:rPr>
          <w:rFonts w:ascii="Arial" w:hAnsi="Arial" w:cs="Arial"/>
          <w:sz w:val="24"/>
          <w:szCs w:val="24"/>
        </w:rPr>
        <w:t xml:space="preserve"> throughout the plan although the final year of the 5 year pay deal made with the unions ends on </w:t>
      </w:r>
      <w:r w:rsidR="0051227A">
        <w:rPr>
          <w:rFonts w:ascii="Arial" w:hAnsi="Arial" w:cs="Arial"/>
          <w:sz w:val="24"/>
          <w:szCs w:val="24"/>
        </w:rPr>
        <w:t>1</w:t>
      </w:r>
      <w:r w:rsidR="0051227A" w:rsidRPr="0051227A">
        <w:rPr>
          <w:rFonts w:ascii="Arial" w:hAnsi="Arial" w:cs="Arial"/>
          <w:sz w:val="24"/>
          <w:szCs w:val="24"/>
          <w:vertAlign w:val="superscript"/>
        </w:rPr>
        <w:t>st</w:t>
      </w:r>
      <w:r w:rsidR="0051227A">
        <w:rPr>
          <w:rFonts w:ascii="Arial" w:hAnsi="Arial" w:cs="Arial"/>
          <w:sz w:val="24"/>
          <w:szCs w:val="24"/>
        </w:rPr>
        <w:t xml:space="preserve"> April 2018.</w:t>
      </w:r>
    </w:p>
    <w:p w:rsidR="00773684" w:rsidRPr="0060381F" w:rsidRDefault="006C3F88" w:rsidP="00BC66D9">
      <w:pPr>
        <w:rPr>
          <w:rFonts w:ascii="Arial" w:hAnsi="Arial" w:cs="Arial"/>
          <w:b/>
          <w:sz w:val="20"/>
          <w:szCs w:val="20"/>
        </w:rPr>
      </w:pPr>
      <w:r w:rsidRPr="00561108">
        <w:rPr>
          <w:rFonts w:ascii="Arial" w:hAnsi="Arial" w:cs="Arial"/>
          <w:sz w:val="24"/>
          <w:szCs w:val="24"/>
        </w:rPr>
        <w:t xml:space="preserve">Since the preparation of the initial plan there have been a number of variations which have come to light which will have a significant effect on the net position. The </w:t>
      </w:r>
      <w:r w:rsidR="00DF50CA">
        <w:rPr>
          <w:rFonts w:ascii="Arial" w:hAnsi="Arial" w:cs="Arial"/>
          <w:sz w:val="24"/>
          <w:szCs w:val="24"/>
        </w:rPr>
        <w:t xml:space="preserve">main variations are </w:t>
      </w:r>
      <w:r w:rsidRPr="00561108">
        <w:rPr>
          <w:rFonts w:ascii="Arial" w:hAnsi="Arial" w:cs="Arial"/>
          <w:sz w:val="24"/>
          <w:szCs w:val="24"/>
        </w:rPr>
        <w:t xml:space="preserve">shown </w:t>
      </w:r>
      <w:r w:rsidR="00DF50CA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134"/>
        <w:gridCol w:w="1701"/>
      </w:tblGrid>
      <w:tr w:rsidR="0060381F" w:rsidTr="00AA3664">
        <w:tc>
          <w:tcPr>
            <w:tcW w:w="9072" w:type="dxa"/>
            <w:gridSpan w:val="5"/>
          </w:tcPr>
          <w:p w:rsidR="0060381F" w:rsidRPr="0060381F" w:rsidRDefault="0060381F" w:rsidP="0060381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381F">
              <w:rPr>
                <w:rFonts w:ascii="Arial" w:hAnsi="Arial" w:cs="Arial"/>
                <w:b/>
                <w:sz w:val="24"/>
                <w:szCs w:val="24"/>
              </w:rPr>
              <w:t>Table 2 MTFP Latest refresh from approved MTFP</w:t>
            </w:r>
          </w:p>
        </w:tc>
      </w:tr>
      <w:tr w:rsidR="0015058E" w:rsidTr="00DF50CA">
        <w:tc>
          <w:tcPr>
            <w:tcW w:w="3686" w:type="dxa"/>
          </w:tcPr>
          <w:p w:rsidR="0015058E" w:rsidRDefault="0015058E" w:rsidP="00BC6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2016-17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2017-18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2018-19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2019-20</w:t>
            </w:r>
          </w:p>
        </w:tc>
      </w:tr>
      <w:tr w:rsidR="0015058E" w:rsidTr="00DF50CA">
        <w:tc>
          <w:tcPr>
            <w:tcW w:w="3686" w:type="dxa"/>
          </w:tcPr>
          <w:p w:rsidR="0015058E" w:rsidRDefault="0015058E" w:rsidP="00BC6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£000’s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£000’s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£000’s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5058E" w:rsidRDefault="0015058E" w:rsidP="00DF50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£000’s</w:t>
            </w:r>
          </w:p>
        </w:tc>
      </w:tr>
      <w:tr w:rsidR="00DF50CA" w:rsidTr="00DF50CA">
        <w:tc>
          <w:tcPr>
            <w:tcW w:w="3686" w:type="dxa"/>
          </w:tcPr>
          <w:p w:rsidR="00DF50CA" w:rsidRPr="00DF50CA" w:rsidRDefault="00DF50CA" w:rsidP="00BC66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2015/16 Deficit</w:t>
            </w:r>
          </w:p>
        </w:tc>
        <w:tc>
          <w:tcPr>
            <w:tcW w:w="1417" w:type="dxa"/>
          </w:tcPr>
          <w:p w:rsidR="00DF50CA" w:rsidRPr="00DF50CA" w:rsidRDefault="00DF50CA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0CA" w:rsidRPr="00DF50CA" w:rsidRDefault="00DF50CA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F50CA" w:rsidRPr="00DF50CA" w:rsidRDefault="00DF50CA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F50CA" w:rsidRPr="00DF50CA" w:rsidRDefault="00FD22A4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DF50CA" w:rsidTr="00DF50CA">
        <w:tc>
          <w:tcPr>
            <w:tcW w:w="3686" w:type="dxa"/>
          </w:tcPr>
          <w:p w:rsidR="00DF50CA" w:rsidRPr="00DF50CA" w:rsidRDefault="00DF50CA" w:rsidP="00BC66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0CA" w:rsidTr="00DF50CA">
        <w:tc>
          <w:tcPr>
            <w:tcW w:w="3686" w:type="dxa"/>
          </w:tcPr>
          <w:p w:rsidR="00DF50CA" w:rsidRPr="00DF50CA" w:rsidRDefault="00DF50CA" w:rsidP="00BC66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Latest Changes</w:t>
            </w:r>
          </w:p>
        </w:tc>
        <w:tc>
          <w:tcPr>
            <w:tcW w:w="1417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58E" w:rsidTr="00DF50CA">
        <w:tc>
          <w:tcPr>
            <w:tcW w:w="3686" w:type="dxa"/>
          </w:tcPr>
          <w:p w:rsidR="0015058E" w:rsidRDefault="0015058E" w:rsidP="00BC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Rates changes</w:t>
            </w:r>
          </w:p>
        </w:tc>
        <w:tc>
          <w:tcPr>
            <w:tcW w:w="1417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1,955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701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15058E" w:rsidTr="00DF50CA">
        <w:tc>
          <w:tcPr>
            <w:tcW w:w="3686" w:type="dxa"/>
          </w:tcPr>
          <w:p w:rsidR="0015058E" w:rsidRDefault="0015058E" w:rsidP="00BC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Homes Bonus</w:t>
            </w:r>
          </w:p>
        </w:tc>
        <w:tc>
          <w:tcPr>
            <w:tcW w:w="1417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(135)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(256)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058E" w:rsidTr="00DF50CA">
        <w:tc>
          <w:tcPr>
            <w:tcW w:w="3686" w:type="dxa"/>
          </w:tcPr>
          <w:p w:rsidR="0015058E" w:rsidRDefault="0015058E" w:rsidP="00BC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Removal of 2015-16 contingency</w:t>
            </w:r>
          </w:p>
        </w:tc>
        <w:tc>
          <w:tcPr>
            <w:tcW w:w="1417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(458)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(458)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(458)</w:t>
            </w:r>
          </w:p>
        </w:tc>
        <w:tc>
          <w:tcPr>
            <w:tcW w:w="1701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(458)</w:t>
            </w:r>
          </w:p>
        </w:tc>
      </w:tr>
      <w:tr w:rsidR="0015058E" w:rsidTr="00DF50CA">
        <w:tc>
          <w:tcPr>
            <w:tcW w:w="3686" w:type="dxa"/>
          </w:tcPr>
          <w:p w:rsidR="0015058E" w:rsidRDefault="0015058E" w:rsidP="00BC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Recyclates</w:t>
            </w:r>
          </w:p>
        </w:tc>
        <w:tc>
          <w:tcPr>
            <w:tcW w:w="1417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1,000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15058E" w:rsidRDefault="0015058E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</w:p>
        </w:tc>
      </w:tr>
      <w:tr w:rsidR="00DF50CA" w:rsidTr="00DF50CA">
        <w:tc>
          <w:tcPr>
            <w:tcW w:w="3686" w:type="dxa"/>
          </w:tcPr>
          <w:p w:rsidR="00DF50CA" w:rsidRDefault="00DF50CA" w:rsidP="00BC66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MRP Reductions</w:t>
            </w:r>
          </w:p>
        </w:tc>
        <w:tc>
          <w:tcPr>
            <w:tcW w:w="1417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(427)</w:t>
            </w:r>
          </w:p>
        </w:tc>
        <w:tc>
          <w:tcPr>
            <w:tcW w:w="1134" w:type="dxa"/>
          </w:tcPr>
          <w:p w:rsidR="00DF50CA" w:rsidRDefault="00DF50CA" w:rsidP="00DF50CA">
            <w:pPr>
              <w:jc w:val="right"/>
            </w:pPr>
            <w:r w:rsidRPr="0020666B">
              <w:rPr>
                <w:rFonts w:ascii="Arial" w:hAnsi="Arial" w:cs="Arial"/>
                <w:sz w:val="24"/>
                <w:szCs w:val="24"/>
              </w:rPr>
              <w:t>(427)</w:t>
            </w:r>
          </w:p>
        </w:tc>
        <w:tc>
          <w:tcPr>
            <w:tcW w:w="1134" w:type="dxa"/>
          </w:tcPr>
          <w:p w:rsidR="00DF50CA" w:rsidRDefault="00DF50CA" w:rsidP="00DF50CA">
            <w:pPr>
              <w:jc w:val="right"/>
            </w:pPr>
            <w:r w:rsidRPr="0020666B">
              <w:rPr>
                <w:rFonts w:ascii="Arial" w:hAnsi="Arial" w:cs="Arial"/>
                <w:sz w:val="24"/>
                <w:szCs w:val="24"/>
              </w:rPr>
              <w:t>(427)</w:t>
            </w:r>
          </w:p>
        </w:tc>
        <w:tc>
          <w:tcPr>
            <w:tcW w:w="1701" w:type="dxa"/>
          </w:tcPr>
          <w:p w:rsidR="00DF50CA" w:rsidRDefault="00DF50CA" w:rsidP="00DF50CA">
            <w:pPr>
              <w:jc w:val="right"/>
            </w:pPr>
            <w:r w:rsidRPr="0020666B">
              <w:rPr>
                <w:rFonts w:ascii="Arial" w:hAnsi="Arial" w:cs="Arial"/>
                <w:sz w:val="24"/>
                <w:szCs w:val="24"/>
              </w:rPr>
              <w:t>(427)</w:t>
            </w:r>
          </w:p>
        </w:tc>
      </w:tr>
      <w:tr w:rsidR="00DF50CA" w:rsidTr="00DF50CA">
        <w:tc>
          <w:tcPr>
            <w:tcW w:w="3686" w:type="dxa"/>
          </w:tcPr>
          <w:p w:rsidR="00DF50CA" w:rsidRDefault="00DF50CA" w:rsidP="00BC66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0CA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CA" w:rsidRPr="0020666B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0CA" w:rsidRPr="0020666B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0CA" w:rsidRPr="0020666B" w:rsidRDefault="00DF50CA" w:rsidP="00DF50C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50CA" w:rsidTr="00DF50CA">
        <w:tc>
          <w:tcPr>
            <w:tcW w:w="3686" w:type="dxa"/>
          </w:tcPr>
          <w:p w:rsidR="00DF50CA" w:rsidRPr="00DF50CA" w:rsidRDefault="00DF50CA" w:rsidP="00BC66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Revised MTFP Balance</w:t>
            </w:r>
          </w:p>
        </w:tc>
        <w:tc>
          <w:tcPr>
            <w:tcW w:w="1417" w:type="dxa"/>
          </w:tcPr>
          <w:p w:rsidR="00DF50CA" w:rsidRPr="00DF50CA" w:rsidRDefault="00DF50CA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1,935</w:t>
            </w:r>
          </w:p>
        </w:tc>
        <w:tc>
          <w:tcPr>
            <w:tcW w:w="1134" w:type="dxa"/>
          </w:tcPr>
          <w:p w:rsidR="00DF50CA" w:rsidRPr="00DF50CA" w:rsidRDefault="00DF50CA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F50CA" w:rsidRPr="00DF50CA" w:rsidRDefault="00DF50CA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201</w:t>
            </w:r>
          </w:p>
        </w:tc>
        <w:tc>
          <w:tcPr>
            <w:tcW w:w="1701" w:type="dxa"/>
          </w:tcPr>
          <w:p w:rsidR="00DF50CA" w:rsidRPr="00DF50CA" w:rsidRDefault="00DF50CA" w:rsidP="00DF50C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F50CA">
              <w:rPr>
                <w:rFonts w:ascii="Arial" w:hAnsi="Arial" w:cs="Arial"/>
                <w:b/>
                <w:sz w:val="24"/>
                <w:szCs w:val="24"/>
              </w:rPr>
              <w:t>2,927</w:t>
            </w:r>
          </w:p>
        </w:tc>
      </w:tr>
    </w:tbl>
    <w:p w:rsidR="0015058E" w:rsidRDefault="0015058E" w:rsidP="00BC66D9">
      <w:pPr>
        <w:rPr>
          <w:rFonts w:ascii="Arial" w:hAnsi="Arial" w:cs="Arial"/>
          <w:sz w:val="24"/>
          <w:szCs w:val="24"/>
        </w:rPr>
      </w:pPr>
    </w:p>
    <w:p w:rsidR="00EB2922" w:rsidRPr="00561108" w:rsidRDefault="00EB2922" w:rsidP="00BC66D9">
      <w:p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Key Variations</w:t>
      </w:r>
      <w:r w:rsidR="00CD4C43" w:rsidRPr="00561108">
        <w:rPr>
          <w:rFonts w:ascii="Arial" w:hAnsi="Arial" w:cs="Arial"/>
          <w:sz w:val="24"/>
          <w:szCs w:val="24"/>
        </w:rPr>
        <w:t xml:space="preserve"> since the original MTFP:</w:t>
      </w:r>
    </w:p>
    <w:p w:rsidR="00DF50CA" w:rsidRDefault="00DF50CA" w:rsidP="00AE2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revenue contributions to finance vehicle purchase, additional pay inflation and variations in one off savings</w:t>
      </w:r>
    </w:p>
    <w:p w:rsidR="00AE22CB" w:rsidRPr="00561108" w:rsidRDefault="00AE22CB" w:rsidP="00AE2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Business rates appeals – effect of appeals lodged</w:t>
      </w:r>
    </w:p>
    <w:p w:rsidR="00AE22CB" w:rsidRPr="00561108" w:rsidRDefault="00AE22CB" w:rsidP="00AE2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Business Rates collection fund deficit arising from </w:t>
      </w:r>
      <w:r w:rsidR="00BE0448">
        <w:rPr>
          <w:rFonts w:ascii="Arial" w:hAnsi="Arial" w:cs="Arial"/>
          <w:sz w:val="24"/>
          <w:szCs w:val="24"/>
        </w:rPr>
        <w:t xml:space="preserve">appeal lodged in </w:t>
      </w:r>
      <w:r w:rsidRPr="00561108">
        <w:rPr>
          <w:rFonts w:ascii="Arial" w:hAnsi="Arial" w:cs="Arial"/>
          <w:sz w:val="24"/>
          <w:szCs w:val="24"/>
        </w:rPr>
        <w:t>2014/15</w:t>
      </w:r>
    </w:p>
    <w:p w:rsidR="00EB2922" w:rsidRPr="00561108" w:rsidRDefault="00EB2922" w:rsidP="00EB29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Reduced contingency re efficiencies achieved in 2014-15</w:t>
      </w:r>
      <w:r w:rsidR="00715F11" w:rsidRPr="00561108">
        <w:rPr>
          <w:rFonts w:ascii="Arial" w:hAnsi="Arial" w:cs="Arial"/>
          <w:sz w:val="24"/>
          <w:szCs w:val="24"/>
        </w:rPr>
        <w:t xml:space="preserve"> (£458k)</w:t>
      </w:r>
    </w:p>
    <w:p w:rsidR="00AE22CB" w:rsidRPr="00561108" w:rsidRDefault="00AE22CB" w:rsidP="00AE22C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Recyclate increased cost - the City Council currently uses a recycling facility at Enstone ope</w:t>
      </w:r>
      <w:r w:rsidR="006E40C3" w:rsidRPr="00561108">
        <w:rPr>
          <w:rFonts w:ascii="Arial" w:hAnsi="Arial" w:cs="Arial"/>
          <w:sz w:val="24"/>
          <w:szCs w:val="24"/>
        </w:rPr>
        <w:t xml:space="preserve">rated by an external contractor.  </w:t>
      </w:r>
      <w:r w:rsidRPr="00561108">
        <w:rPr>
          <w:rFonts w:ascii="Arial" w:hAnsi="Arial" w:cs="Arial"/>
          <w:sz w:val="24"/>
          <w:szCs w:val="24"/>
        </w:rPr>
        <w:t xml:space="preserve">Due to variations in prices paid for recyclate the operation </w:t>
      </w:r>
      <w:r w:rsidR="006E40C3" w:rsidRPr="00561108">
        <w:rPr>
          <w:rFonts w:ascii="Arial" w:hAnsi="Arial" w:cs="Arial"/>
          <w:sz w:val="24"/>
          <w:szCs w:val="24"/>
        </w:rPr>
        <w:t>is no longer financially viable</w:t>
      </w:r>
      <w:r w:rsidRPr="00561108">
        <w:rPr>
          <w:rFonts w:ascii="Arial" w:hAnsi="Arial" w:cs="Arial"/>
          <w:sz w:val="24"/>
          <w:szCs w:val="24"/>
        </w:rPr>
        <w:t xml:space="preserve">. </w:t>
      </w:r>
      <w:r w:rsidR="0015058E">
        <w:rPr>
          <w:rFonts w:ascii="Arial" w:hAnsi="Arial" w:cs="Arial"/>
          <w:sz w:val="24"/>
          <w:szCs w:val="24"/>
        </w:rPr>
        <w:t>On the 10</w:t>
      </w:r>
      <w:r w:rsidR="0015058E" w:rsidRPr="0015058E">
        <w:rPr>
          <w:rFonts w:ascii="Arial" w:hAnsi="Arial" w:cs="Arial"/>
          <w:sz w:val="24"/>
          <w:szCs w:val="24"/>
          <w:vertAlign w:val="superscript"/>
        </w:rPr>
        <w:t>th</w:t>
      </w:r>
      <w:r w:rsidR="0015058E">
        <w:rPr>
          <w:rFonts w:ascii="Arial" w:hAnsi="Arial" w:cs="Arial"/>
          <w:sz w:val="24"/>
          <w:szCs w:val="24"/>
        </w:rPr>
        <w:t xml:space="preserve"> September 2015 City Executive Board gave delegated authority to the Executive Director of Community Services to accept tenders up to £1 million for the provision of a waste transfer station and collection and subsequent treatment of dry recyclate. The recent acceptance of tenders from two companies results in a pressure of £1million in a full year. The Council is looking at the feasibility if operating its own transfer station which would reduce costs in future years.</w:t>
      </w:r>
    </w:p>
    <w:p w:rsidR="00B22A84" w:rsidRPr="00561108" w:rsidRDefault="00B22A84" w:rsidP="00EB29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Reductions in M</w:t>
      </w:r>
      <w:r w:rsidR="00AE22CB" w:rsidRPr="00561108">
        <w:rPr>
          <w:rFonts w:ascii="Arial" w:hAnsi="Arial" w:cs="Arial"/>
          <w:sz w:val="24"/>
          <w:szCs w:val="24"/>
        </w:rPr>
        <w:t xml:space="preserve">inimum </w:t>
      </w:r>
      <w:r w:rsidRPr="00561108">
        <w:rPr>
          <w:rFonts w:ascii="Arial" w:hAnsi="Arial" w:cs="Arial"/>
          <w:sz w:val="24"/>
          <w:szCs w:val="24"/>
        </w:rPr>
        <w:t>R</w:t>
      </w:r>
      <w:r w:rsidR="00AE22CB" w:rsidRPr="00561108">
        <w:rPr>
          <w:rFonts w:ascii="Arial" w:hAnsi="Arial" w:cs="Arial"/>
          <w:sz w:val="24"/>
          <w:szCs w:val="24"/>
        </w:rPr>
        <w:t>evenu</w:t>
      </w:r>
      <w:r w:rsidR="000E0650" w:rsidRPr="00561108">
        <w:rPr>
          <w:rFonts w:ascii="Arial" w:hAnsi="Arial" w:cs="Arial"/>
          <w:sz w:val="24"/>
          <w:szCs w:val="24"/>
        </w:rPr>
        <w:t>e</w:t>
      </w:r>
      <w:r w:rsidR="00AE22CB" w:rsidRPr="00561108">
        <w:rPr>
          <w:rFonts w:ascii="Arial" w:hAnsi="Arial" w:cs="Arial"/>
          <w:sz w:val="24"/>
          <w:szCs w:val="24"/>
        </w:rPr>
        <w:t xml:space="preserve"> </w:t>
      </w:r>
      <w:r w:rsidRPr="00561108">
        <w:rPr>
          <w:rFonts w:ascii="Arial" w:hAnsi="Arial" w:cs="Arial"/>
          <w:sz w:val="24"/>
          <w:szCs w:val="24"/>
        </w:rPr>
        <w:t>P</w:t>
      </w:r>
      <w:r w:rsidR="00AE22CB" w:rsidRPr="00561108">
        <w:rPr>
          <w:rFonts w:ascii="Arial" w:hAnsi="Arial" w:cs="Arial"/>
          <w:sz w:val="24"/>
          <w:szCs w:val="24"/>
        </w:rPr>
        <w:t>rovision</w:t>
      </w:r>
      <w:r w:rsidRPr="00561108">
        <w:rPr>
          <w:rFonts w:ascii="Arial" w:hAnsi="Arial" w:cs="Arial"/>
          <w:sz w:val="24"/>
          <w:szCs w:val="24"/>
        </w:rPr>
        <w:t xml:space="preserve"> through not borrowing to fund capital in 2014/15</w:t>
      </w:r>
    </w:p>
    <w:p w:rsidR="0019386D" w:rsidRPr="00561108" w:rsidRDefault="0019386D" w:rsidP="00EB29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Revised New Homes Bonus figures based on the actuals received in 2015/16</w:t>
      </w:r>
    </w:p>
    <w:p w:rsidR="00FD22A4" w:rsidRDefault="00FD22A4" w:rsidP="009E1675">
      <w:pPr>
        <w:rPr>
          <w:rFonts w:ascii="Arial" w:hAnsi="Arial" w:cs="Arial"/>
          <w:b/>
          <w:sz w:val="24"/>
          <w:szCs w:val="24"/>
        </w:rPr>
      </w:pPr>
    </w:p>
    <w:p w:rsidR="00FD22A4" w:rsidRDefault="00FD22A4" w:rsidP="009E1675">
      <w:pPr>
        <w:rPr>
          <w:rFonts w:ascii="Arial" w:hAnsi="Arial" w:cs="Arial"/>
          <w:b/>
          <w:sz w:val="24"/>
          <w:szCs w:val="24"/>
        </w:rPr>
      </w:pPr>
    </w:p>
    <w:p w:rsidR="00ED0EF3" w:rsidRPr="00561108" w:rsidRDefault="0087349C" w:rsidP="0087349C">
      <w:pPr>
        <w:rPr>
          <w:rFonts w:ascii="Arial" w:hAnsi="Arial" w:cs="Arial"/>
          <w:b/>
          <w:sz w:val="24"/>
          <w:szCs w:val="24"/>
        </w:rPr>
      </w:pPr>
      <w:r w:rsidRPr="00561108">
        <w:rPr>
          <w:rFonts w:ascii="Arial" w:hAnsi="Arial" w:cs="Arial"/>
          <w:b/>
          <w:sz w:val="24"/>
          <w:szCs w:val="24"/>
        </w:rPr>
        <w:lastRenderedPageBreak/>
        <w:t>Business Rates</w:t>
      </w:r>
    </w:p>
    <w:p w:rsidR="0087349C" w:rsidRPr="00561108" w:rsidRDefault="00715F11" w:rsidP="0087349C">
      <w:p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A new Business Rates valuation list is due to be issued in 2017.  Any business rates projections from this point are subject to a high degree of uncertainty because the effect of the revaluation is completely unknown.  T</w:t>
      </w:r>
      <w:r w:rsidR="0087349C" w:rsidRPr="00561108">
        <w:rPr>
          <w:rFonts w:ascii="Arial" w:hAnsi="Arial" w:cs="Arial"/>
          <w:sz w:val="24"/>
          <w:szCs w:val="24"/>
        </w:rPr>
        <w:t xml:space="preserve">he Valuation Office is </w:t>
      </w:r>
      <w:r w:rsidRPr="00561108">
        <w:rPr>
          <w:rFonts w:ascii="Arial" w:hAnsi="Arial" w:cs="Arial"/>
          <w:sz w:val="24"/>
          <w:szCs w:val="24"/>
        </w:rPr>
        <w:t>not able to release any information about the possible effects</w:t>
      </w:r>
      <w:r w:rsidR="0087349C" w:rsidRPr="00561108">
        <w:rPr>
          <w:rFonts w:ascii="Arial" w:hAnsi="Arial" w:cs="Arial"/>
          <w:sz w:val="24"/>
          <w:szCs w:val="24"/>
        </w:rPr>
        <w:t xml:space="preserve">.  </w:t>
      </w:r>
      <w:r w:rsidRPr="00561108">
        <w:rPr>
          <w:rFonts w:ascii="Arial" w:hAnsi="Arial" w:cs="Arial"/>
          <w:sz w:val="24"/>
          <w:szCs w:val="24"/>
        </w:rPr>
        <w:t xml:space="preserve">All estimates, including of the new </w:t>
      </w:r>
      <w:r w:rsidR="0087349C" w:rsidRPr="00561108">
        <w:rPr>
          <w:rFonts w:ascii="Arial" w:hAnsi="Arial" w:cs="Arial"/>
          <w:sz w:val="24"/>
          <w:szCs w:val="24"/>
        </w:rPr>
        <w:t xml:space="preserve">Westgate </w:t>
      </w:r>
      <w:r w:rsidRPr="00561108">
        <w:rPr>
          <w:rFonts w:ascii="Arial" w:hAnsi="Arial" w:cs="Arial"/>
          <w:sz w:val="24"/>
          <w:szCs w:val="24"/>
        </w:rPr>
        <w:t>Centre, are based on existing rateable values.</w:t>
      </w:r>
      <w:r w:rsidR="00FB0D02" w:rsidRPr="00561108">
        <w:rPr>
          <w:rFonts w:ascii="Arial" w:hAnsi="Arial" w:cs="Arial"/>
          <w:sz w:val="24"/>
          <w:szCs w:val="24"/>
        </w:rPr>
        <w:t xml:space="preserve">  There is likely to be an increase in r</w:t>
      </w:r>
      <w:r w:rsidR="00ED1B21" w:rsidRPr="00561108">
        <w:rPr>
          <w:rFonts w:ascii="Arial" w:hAnsi="Arial" w:cs="Arial"/>
          <w:sz w:val="24"/>
          <w:szCs w:val="24"/>
        </w:rPr>
        <w:t>ateable values relating to this although at this stage the amount is unknown</w:t>
      </w:r>
      <w:r w:rsidR="00513733" w:rsidRPr="00561108">
        <w:rPr>
          <w:rFonts w:ascii="Arial" w:hAnsi="Arial" w:cs="Arial"/>
          <w:sz w:val="24"/>
          <w:szCs w:val="24"/>
        </w:rPr>
        <w:t xml:space="preserve">, and the effect of this will </w:t>
      </w:r>
      <w:r w:rsidR="000432C3" w:rsidRPr="00561108">
        <w:rPr>
          <w:rFonts w:ascii="Arial" w:hAnsi="Arial" w:cs="Arial"/>
          <w:sz w:val="24"/>
          <w:szCs w:val="24"/>
        </w:rPr>
        <w:t>start</w:t>
      </w:r>
      <w:r w:rsidR="00513733" w:rsidRPr="00561108">
        <w:rPr>
          <w:rFonts w:ascii="Arial" w:hAnsi="Arial" w:cs="Arial"/>
          <w:sz w:val="24"/>
          <w:szCs w:val="24"/>
        </w:rPr>
        <w:t xml:space="preserve"> in </w:t>
      </w:r>
      <w:r w:rsidR="000432C3" w:rsidRPr="00561108">
        <w:rPr>
          <w:rFonts w:ascii="Arial" w:hAnsi="Arial" w:cs="Arial"/>
          <w:sz w:val="24"/>
          <w:szCs w:val="24"/>
        </w:rPr>
        <w:t>2018/19.</w:t>
      </w:r>
    </w:p>
    <w:p w:rsidR="00605F6F" w:rsidRPr="00561108" w:rsidRDefault="00605F6F" w:rsidP="00605F6F">
      <w:pPr>
        <w:rPr>
          <w:rFonts w:ascii="Arial" w:hAnsi="Arial" w:cs="Arial"/>
          <w:b/>
          <w:sz w:val="24"/>
          <w:szCs w:val="24"/>
        </w:rPr>
      </w:pPr>
      <w:r w:rsidRPr="00561108">
        <w:rPr>
          <w:rFonts w:ascii="Arial" w:hAnsi="Arial" w:cs="Arial"/>
          <w:b/>
          <w:sz w:val="24"/>
          <w:szCs w:val="24"/>
        </w:rPr>
        <w:t>Emergency Budget</w:t>
      </w:r>
    </w:p>
    <w:p w:rsidR="000432C3" w:rsidRPr="00561108" w:rsidRDefault="00ED0EF3" w:rsidP="00255DD1">
      <w:p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The</w:t>
      </w:r>
      <w:r w:rsidR="000432C3" w:rsidRPr="00561108">
        <w:rPr>
          <w:rFonts w:ascii="Arial" w:hAnsi="Arial" w:cs="Arial"/>
          <w:sz w:val="24"/>
          <w:szCs w:val="24"/>
        </w:rPr>
        <w:t xml:space="preserve"> Conservative Government, at its </w:t>
      </w:r>
      <w:r w:rsidR="00D96B3D" w:rsidRPr="00561108">
        <w:rPr>
          <w:rFonts w:ascii="Arial" w:hAnsi="Arial" w:cs="Arial"/>
          <w:sz w:val="24"/>
          <w:szCs w:val="24"/>
        </w:rPr>
        <w:t>E</w:t>
      </w:r>
      <w:r w:rsidRPr="00561108">
        <w:rPr>
          <w:rFonts w:ascii="Arial" w:hAnsi="Arial" w:cs="Arial"/>
          <w:sz w:val="24"/>
          <w:szCs w:val="24"/>
        </w:rPr>
        <w:t xml:space="preserve">mergency </w:t>
      </w:r>
      <w:r w:rsidR="00D96B3D" w:rsidRPr="00561108">
        <w:rPr>
          <w:rFonts w:ascii="Arial" w:hAnsi="Arial" w:cs="Arial"/>
          <w:sz w:val="24"/>
          <w:szCs w:val="24"/>
        </w:rPr>
        <w:t>B</w:t>
      </w:r>
      <w:r w:rsidRPr="00561108">
        <w:rPr>
          <w:rFonts w:ascii="Arial" w:hAnsi="Arial" w:cs="Arial"/>
          <w:sz w:val="24"/>
          <w:szCs w:val="24"/>
        </w:rPr>
        <w:t xml:space="preserve">udget </w:t>
      </w:r>
      <w:r w:rsidR="000432C3" w:rsidRPr="00561108">
        <w:rPr>
          <w:rFonts w:ascii="Arial" w:hAnsi="Arial" w:cs="Arial"/>
          <w:sz w:val="24"/>
          <w:szCs w:val="24"/>
        </w:rPr>
        <w:t>on the</w:t>
      </w:r>
      <w:r w:rsidRPr="00561108">
        <w:rPr>
          <w:rFonts w:ascii="Arial" w:hAnsi="Arial" w:cs="Arial"/>
          <w:sz w:val="24"/>
          <w:szCs w:val="24"/>
        </w:rPr>
        <w:t xml:space="preserve"> 8</w:t>
      </w:r>
      <w:r w:rsidRPr="00561108">
        <w:rPr>
          <w:rFonts w:ascii="Arial" w:hAnsi="Arial" w:cs="Arial"/>
          <w:sz w:val="24"/>
          <w:szCs w:val="24"/>
          <w:vertAlign w:val="superscript"/>
        </w:rPr>
        <w:t>th</w:t>
      </w:r>
      <w:r w:rsidRPr="00561108">
        <w:rPr>
          <w:rFonts w:ascii="Arial" w:hAnsi="Arial" w:cs="Arial"/>
          <w:sz w:val="24"/>
          <w:szCs w:val="24"/>
        </w:rPr>
        <w:t xml:space="preserve"> July</w:t>
      </w:r>
      <w:r w:rsidR="000432C3" w:rsidRPr="00561108">
        <w:rPr>
          <w:rFonts w:ascii="Arial" w:hAnsi="Arial" w:cs="Arial"/>
          <w:sz w:val="24"/>
          <w:szCs w:val="24"/>
        </w:rPr>
        <w:t>,</w:t>
      </w:r>
      <w:r w:rsidRPr="00561108">
        <w:rPr>
          <w:rFonts w:ascii="Arial" w:hAnsi="Arial" w:cs="Arial"/>
          <w:sz w:val="24"/>
          <w:szCs w:val="24"/>
        </w:rPr>
        <w:t xml:space="preserve"> </w:t>
      </w:r>
      <w:r w:rsidR="00D96B3D" w:rsidRPr="00561108">
        <w:rPr>
          <w:rFonts w:ascii="Arial" w:hAnsi="Arial" w:cs="Arial"/>
          <w:sz w:val="24"/>
          <w:szCs w:val="24"/>
        </w:rPr>
        <w:t xml:space="preserve">advised of a further </w:t>
      </w:r>
      <w:r w:rsidRPr="00561108">
        <w:rPr>
          <w:rFonts w:ascii="Arial" w:hAnsi="Arial" w:cs="Arial"/>
          <w:sz w:val="24"/>
          <w:szCs w:val="24"/>
        </w:rPr>
        <w:t>£12 b</w:t>
      </w:r>
      <w:r w:rsidR="00B22A84" w:rsidRPr="00561108">
        <w:rPr>
          <w:rFonts w:ascii="Arial" w:hAnsi="Arial" w:cs="Arial"/>
          <w:sz w:val="24"/>
          <w:szCs w:val="24"/>
        </w:rPr>
        <w:t>illion cut</w:t>
      </w:r>
      <w:r w:rsidR="000432C3" w:rsidRPr="00561108">
        <w:rPr>
          <w:rFonts w:ascii="Arial" w:hAnsi="Arial" w:cs="Arial"/>
          <w:sz w:val="24"/>
          <w:szCs w:val="24"/>
        </w:rPr>
        <w:t>s</w:t>
      </w:r>
      <w:r w:rsidR="00B22A84" w:rsidRPr="00561108">
        <w:rPr>
          <w:rFonts w:ascii="Arial" w:hAnsi="Arial" w:cs="Arial"/>
          <w:sz w:val="24"/>
          <w:szCs w:val="24"/>
        </w:rPr>
        <w:t xml:space="preserve"> from the national </w:t>
      </w:r>
      <w:r w:rsidRPr="00561108">
        <w:rPr>
          <w:rFonts w:ascii="Arial" w:hAnsi="Arial" w:cs="Arial"/>
          <w:sz w:val="24"/>
          <w:szCs w:val="24"/>
        </w:rPr>
        <w:t>welfare</w:t>
      </w:r>
      <w:r w:rsidR="008A0378" w:rsidRPr="00561108">
        <w:rPr>
          <w:rFonts w:ascii="Arial" w:hAnsi="Arial" w:cs="Arial"/>
          <w:sz w:val="24"/>
          <w:szCs w:val="24"/>
        </w:rPr>
        <w:t xml:space="preserve"> bill</w:t>
      </w:r>
      <w:r w:rsidR="001C74DD" w:rsidRPr="00561108">
        <w:rPr>
          <w:rFonts w:ascii="Arial" w:hAnsi="Arial" w:cs="Arial"/>
          <w:sz w:val="24"/>
          <w:szCs w:val="24"/>
        </w:rPr>
        <w:t xml:space="preserve"> </w:t>
      </w:r>
      <w:r w:rsidR="00D96B3D" w:rsidRPr="00561108">
        <w:rPr>
          <w:rFonts w:ascii="Arial" w:hAnsi="Arial" w:cs="Arial"/>
          <w:sz w:val="24"/>
          <w:szCs w:val="24"/>
        </w:rPr>
        <w:t xml:space="preserve">with the reduction of the benefit cap to </w:t>
      </w:r>
      <w:r w:rsidR="00561108">
        <w:rPr>
          <w:rFonts w:ascii="Arial" w:hAnsi="Arial" w:cs="Arial"/>
          <w:sz w:val="24"/>
          <w:szCs w:val="24"/>
        </w:rPr>
        <w:t>£</w:t>
      </w:r>
      <w:r w:rsidR="00D96B3D" w:rsidRPr="00561108">
        <w:rPr>
          <w:rFonts w:ascii="Arial" w:hAnsi="Arial" w:cs="Arial"/>
          <w:sz w:val="24"/>
          <w:szCs w:val="24"/>
        </w:rPr>
        <w:t xml:space="preserve">20,000 per household a major part of the policy. This is </w:t>
      </w:r>
      <w:r w:rsidR="00561108" w:rsidRPr="00561108">
        <w:rPr>
          <w:rFonts w:ascii="Arial" w:hAnsi="Arial" w:cs="Arial"/>
          <w:sz w:val="24"/>
          <w:szCs w:val="24"/>
        </w:rPr>
        <w:t>likely</w:t>
      </w:r>
      <w:r w:rsidR="00D96B3D" w:rsidRPr="00561108">
        <w:rPr>
          <w:rFonts w:ascii="Arial" w:hAnsi="Arial" w:cs="Arial"/>
          <w:sz w:val="24"/>
          <w:szCs w:val="24"/>
        </w:rPr>
        <w:t xml:space="preserve"> to increase pressure around council tax, rents, DHP allowances and ultimately homelessness. In an additional announcement </w:t>
      </w:r>
      <w:r w:rsidR="00561108">
        <w:rPr>
          <w:rFonts w:ascii="Arial" w:hAnsi="Arial" w:cs="Arial"/>
          <w:sz w:val="24"/>
          <w:szCs w:val="24"/>
        </w:rPr>
        <w:t xml:space="preserve">following the budget </w:t>
      </w:r>
      <w:r w:rsidR="00D96B3D" w:rsidRPr="00561108">
        <w:rPr>
          <w:rFonts w:ascii="Arial" w:hAnsi="Arial" w:cs="Arial"/>
          <w:sz w:val="24"/>
          <w:szCs w:val="24"/>
        </w:rPr>
        <w:t xml:space="preserve">the Chancellor announced cuts in unprotected Government Services (including local Government) of between 25% and 40% means that the pressure to resolve the countries budget </w:t>
      </w:r>
      <w:r w:rsidR="00561108" w:rsidRPr="00561108">
        <w:rPr>
          <w:rFonts w:ascii="Arial" w:hAnsi="Arial" w:cs="Arial"/>
          <w:sz w:val="24"/>
          <w:szCs w:val="24"/>
        </w:rPr>
        <w:t>deficit</w:t>
      </w:r>
      <w:r w:rsidR="00D96B3D" w:rsidRPr="00561108">
        <w:rPr>
          <w:rFonts w:ascii="Arial" w:hAnsi="Arial" w:cs="Arial"/>
          <w:sz w:val="24"/>
          <w:szCs w:val="24"/>
        </w:rPr>
        <w:t xml:space="preserve"> continues </w:t>
      </w:r>
    </w:p>
    <w:p w:rsidR="00D96B3D" w:rsidRPr="00561108" w:rsidRDefault="000432C3" w:rsidP="00255DD1">
      <w:p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The summer budget also announced a </w:t>
      </w:r>
    </w:p>
    <w:p w:rsidR="00D96B3D" w:rsidRPr="00561108" w:rsidRDefault="000432C3" w:rsidP="005611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>1% decrease in Housing rents</w:t>
      </w:r>
      <w:r w:rsidR="00D96B3D" w:rsidRPr="00561108">
        <w:rPr>
          <w:rFonts w:ascii="Arial" w:hAnsi="Arial" w:cs="Arial"/>
          <w:sz w:val="24"/>
          <w:szCs w:val="24"/>
        </w:rPr>
        <w:t xml:space="preserve"> for the next four years</w:t>
      </w:r>
      <w:r w:rsidRPr="00561108">
        <w:rPr>
          <w:rFonts w:ascii="Arial" w:hAnsi="Arial" w:cs="Arial"/>
          <w:sz w:val="24"/>
          <w:szCs w:val="24"/>
        </w:rPr>
        <w:t xml:space="preserve">, </w:t>
      </w:r>
    </w:p>
    <w:p w:rsidR="00D96B3D" w:rsidRPr="00561108" w:rsidRDefault="00D96B3D" w:rsidP="005611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The forced sale of </w:t>
      </w:r>
      <w:r w:rsidR="00561108" w:rsidRPr="00561108">
        <w:rPr>
          <w:rFonts w:ascii="Arial" w:hAnsi="Arial" w:cs="Arial"/>
          <w:sz w:val="24"/>
          <w:szCs w:val="24"/>
        </w:rPr>
        <w:t>expensive</w:t>
      </w:r>
      <w:r w:rsidRPr="00561108">
        <w:rPr>
          <w:rFonts w:ascii="Arial" w:hAnsi="Arial" w:cs="Arial"/>
          <w:sz w:val="24"/>
          <w:szCs w:val="24"/>
        </w:rPr>
        <w:t xml:space="preserve"> </w:t>
      </w:r>
      <w:r w:rsidR="00561108" w:rsidRPr="00561108">
        <w:rPr>
          <w:rFonts w:ascii="Arial" w:hAnsi="Arial" w:cs="Arial"/>
          <w:sz w:val="24"/>
          <w:szCs w:val="24"/>
        </w:rPr>
        <w:t>properties</w:t>
      </w:r>
      <w:r w:rsidRPr="00561108">
        <w:rPr>
          <w:rFonts w:ascii="Arial" w:hAnsi="Arial" w:cs="Arial"/>
          <w:sz w:val="24"/>
          <w:szCs w:val="24"/>
        </w:rPr>
        <w:t xml:space="preserve"> when becoming void</w:t>
      </w:r>
    </w:p>
    <w:p w:rsidR="00D96B3D" w:rsidRPr="00561108" w:rsidRDefault="00D96B3D" w:rsidP="0056110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The raising of rents to market rents for </w:t>
      </w:r>
      <w:r w:rsidR="00561108" w:rsidRPr="00561108">
        <w:rPr>
          <w:rFonts w:ascii="Arial" w:hAnsi="Arial" w:cs="Arial"/>
          <w:sz w:val="24"/>
          <w:szCs w:val="24"/>
        </w:rPr>
        <w:t>families</w:t>
      </w:r>
      <w:r w:rsidRPr="00561108">
        <w:rPr>
          <w:rFonts w:ascii="Arial" w:hAnsi="Arial" w:cs="Arial"/>
          <w:sz w:val="24"/>
          <w:szCs w:val="24"/>
        </w:rPr>
        <w:t xml:space="preserve"> earning in excess of £30k per annum with the subsequent additional income being paid to the </w:t>
      </w:r>
      <w:r w:rsidR="00561108" w:rsidRPr="00561108">
        <w:rPr>
          <w:rFonts w:ascii="Arial" w:hAnsi="Arial" w:cs="Arial"/>
          <w:sz w:val="24"/>
          <w:szCs w:val="24"/>
        </w:rPr>
        <w:t>Government</w:t>
      </w:r>
    </w:p>
    <w:p w:rsidR="00D96B3D" w:rsidRPr="00561108" w:rsidRDefault="00D96B3D" w:rsidP="00561108">
      <w:pPr>
        <w:pStyle w:val="ListParagraph"/>
        <w:rPr>
          <w:rFonts w:ascii="Arial" w:hAnsi="Arial" w:cs="Arial"/>
          <w:sz w:val="24"/>
          <w:szCs w:val="24"/>
        </w:rPr>
      </w:pPr>
    </w:p>
    <w:p w:rsidR="00ED0EF3" w:rsidRPr="00561108" w:rsidRDefault="00D96B3D" w:rsidP="00561108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It is estimated that the effect of these changes </w:t>
      </w:r>
      <w:r w:rsidR="000432C3" w:rsidRPr="00561108">
        <w:rPr>
          <w:rFonts w:ascii="Arial" w:hAnsi="Arial" w:cs="Arial"/>
          <w:sz w:val="24"/>
          <w:szCs w:val="24"/>
        </w:rPr>
        <w:t xml:space="preserve">Housing Revenue Account Business Plan, </w:t>
      </w:r>
      <w:r w:rsidRPr="00561108">
        <w:rPr>
          <w:rFonts w:ascii="Arial" w:hAnsi="Arial" w:cs="Arial"/>
          <w:sz w:val="24"/>
          <w:szCs w:val="24"/>
        </w:rPr>
        <w:t xml:space="preserve">will be around </w:t>
      </w:r>
      <w:r w:rsidR="000432C3" w:rsidRPr="00561108">
        <w:rPr>
          <w:rFonts w:ascii="Arial" w:hAnsi="Arial" w:cs="Arial"/>
          <w:sz w:val="24"/>
          <w:szCs w:val="24"/>
        </w:rPr>
        <w:t xml:space="preserve">£130m </w:t>
      </w:r>
      <w:r w:rsidR="00561108" w:rsidRPr="00561108">
        <w:rPr>
          <w:rFonts w:ascii="Arial" w:hAnsi="Arial" w:cs="Arial"/>
          <w:sz w:val="24"/>
          <w:szCs w:val="24"/>
        </w:rPr>
        <w:t>reduction in income over</w:t>
      </w:r>
      <w:r w:rsidR="000432C3" w:rsidRPr="00561108">
        <w:rPr>
          <w:rFonts w:ascii="Arial" w:hAnsi="Arial" w:cs="Arial"/>
          <w:sz w:val="24"/>
          <w:szCs w:val="24"/>
        </w:rPr>
        <w:t xml:space="preserve"> the next 10 years</w:t>
      </w:r>
      <w:r w:rsidR="0060381F">
        <w:rPr>
          <w:rFonts w:ascii="Arial" w:hAnsi="Arial" w:cs="Arial"/>
          <w:sz w:val="24"/>
          <w:szCs w:val="24"/>
        </w:rPr>
        <w:t xml:space="preserve"> and around £36 million over the next four years as shown in table 4 below</w:t>
      </w:r>
      <w:r w:rsidR="000432C3" w:rsidRPr="00561108">
        <w:rPr>
          <w:rFonts w:ascii="Arial" w:hAnsi="Arial" w:cs="Arial"/>
          <w:sz w:val="24"/>
          <w:szCs w:val="24"/>
        </w:rPr>
        <w:t>.</w:t>
      </w:r>
      <w:r w:rsidR="00ED0EF3" w:rsidRPr="00561108">
        <w:rPr>
          <w:rFonts w:ascii="Arial" w:hAnsi="Arial" w:cs="Arial"/>
          <w:sz w:val="24"/>
          <w:szCs w:val="24"/>
        </w:rPr>
        <w:t xml:space="preserve"> </w:t>
      </w:r>
      <w:r w:rsidR="00561108">
        <w:rPr>
          <w:rFonts w:ascii="Arial" w:hAnsi="Arial" w:cs="Arial"/>
          <w:sz w:val="24"/>
          <w:szCs w:val="24"/>
        </w:rPr>
        <w:t xml:space="preserve">The detailed implications on the existing HRA Business Plan </w:t>
      </w:r>
      <w:r w:rsidR="00FD22A4">
        <w:rPr>
          <w:rFonts w:ascii="Arial" w:hAnsi="Arial" w:cs="Arial"/>
          <w:sz w:val="24"/>
          <w:szCs w:val="24"/>
        </w:rPr>
        <w:t>are</w:t>
      </w:r>
      <w:r w:rsidR="00561108">
        <w:rPr>
          <w:rFonts w:ascii="Arial" w:hAnsi="Arial" w:cs="Arial"/>
          <w:sz w:val="24"/>
          <w:szCs w:val="24"/>
        </w:rPr>
        <w:t xml:space="preserve"> currently being assessed but it is expected that there will be significant implications for the whole council. 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2"/>
        <w:gridCol w:w="1540"/>
        <w:gridCol w:w="1540"/>
        <w:gridCol w:w="1541"/>
        <w:gridCol w:w="1541"/>
      </w:tblGrid>
      <w:tr w:rsidR="0060381F" w:rsidRPr="0060381F" w:rsidTr="002A24DD">
        <w:tc>
          <w:tcPr>
            <w:tcW w:w="9242" w:type="dxa"/>
            <w:gridSpan w:val="6"/>
          </w:tcPr>
          <w:p w:rsidR="0060381F" w:rsidRPr="0060381F" w:rsidRDefault="0060381F" w:rsidP="0060381F">
            <w:pPr>
              <w:rPr>
                <w:b/>
              </w:rPr>
            </w:pPr>
            <w:r>
              <w:rPr>
                <w:b/>
              </w:rPr>
              <w:t>Table 4 :</w:t>
            </w:r>
            <w:r w:rsidRPr="0060381F">
              <w:rPr>
                <w:b/>
              </w:rPr>
              <w:t>Annual Loss of Income 2016-17 – 2019/20</w:t>
            </w:r>
          </w:p>
        </w:tc>
      </w:tr>
      <w:tr w:rsidR="0060381F" w:rsidRPr="0060381F" w:rsidTr="0060381F">
        <w:tc>
          <w:tcPr>
            <w:tcW w:w="1668" w:type="dxa"/>
          </w:tcPr>
          <w:p w:rsidR="0060381F" w:rsidRPr="0060381F" w:rsidRDefault="0060381F" w:rsidP="0060381F"/>
        </w:tc>
        <w:tc>
          <w:tcPr>
            <w:tcW w:w="1412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2016/17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2017/18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2018/19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2019/20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  <w:rPr>
                <w:b/>
              </w:rPr>
            </w:pPr>
            <w:r w:rsidRPr="0060381F">
              <w:rPr>
                <w:b/>
              </w:rPr>
              <w:t>Total</w:t>
            </w:r>
          </w:p>
        </w:tc>
      </w:tr>
      <w:tr w:rsidR="0060381F" w:rsidRPr="0060381F" w:rsidTr="0060381F">
        <w:tc>
          <w:tcPr>
            <w:tcW w:w="1668" w:type="dxa"/>
          </w:tcPr>
          <w:p w:rsidR="0060381F" w:rsidRPr="0060381F" w:rsidRDefault="0060381F" w:rsidP="0060381F"/>
        </w:tc>
        <w:tc>
          <w:tcPr>
            <w:tcW w:w="1412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£’000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£’000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£’000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</w:pPr>
            <w:r w:rsidRPr="0060381F">
              <w:t>£’000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center"/>
              <w:rPr>
                <w:b/>
              </w:rPr>
            </w:pPr>
            <w:r w:rsidRPr="0060381F">
              <w:rPr>
                <w:b/>
              </w:rPr>
              <w:t>£’000</w:t>
            </w:r>
          </w:p>
        </w:tc>
      </w:tr>
      <w:tr w:rsidR="0060381F" w:rsidRPr="0060381F" w:rsidTr="002A24DD">
        <w:tc>
          <w:tcPr>
            <w:tcW w:w="1668" w:type="dxa"/>
          </w:tcPr>
          <w:p w:rsidR="0060381F" w:rsidRPr="0060381F" w:rsidRDefault="0060381F" w:rsidP="0060381F">
            <w:r w:rsidRPr="0060381F">
              <w:t>Rent (1% reduction)</w:t>
            </w:r>
          </w:p>
        </w:tc>
        <w:tc>
          <w:tcPr>
            <w:tcW w:w="1412" w:type="dxa"/>
          </w:tcPr>
          <w:p w:rsidR="0060381F" w:rsidRPr="0060381F" w:rsidRDefault="0060381F" w:rsidP="0060381F">
            <w:pPr>
              <w:jc w:val="right"/>
            </w:pPr>
            <w:r w:rsidRPr="0060381F">
              <w:t>3,105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  <w:r w:rsidRPr="0060381F">
              <w:t>6,235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  <w:r w:rsidRPr="0060381F">
              <w:t>9,220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</w:pPr>
            <w:r w:rsidRPr="0060381F">
              <w:t>12,405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30,965</w:t>
            </w:r>
          </w:p>
        </w:tc>
      </w:tr>
      <w:tr w:rsidR="0060381F" w:rsidRPr="0060381F" w:rsidTr="002A24DD">
        <w:tc>
          <w:tcPr>
            <w:tcW w:w="1668" w:type="dxa"/>
          </w:tcPr>
          <w:p w:rsidR="0060381F" w:rsidRPr="0060381F" w:rsidRDefault="0060381F" w:rsidP="0060381F">
            <w:r w:rsidRPr="0060381F">
              <w:t>Pay to Stay</w:t>
            </w:r>
          </w:p>
        </w:tc>
        <w:tc>
          <w:tcPr>
            <w:tcW w:w="1412" w:type="dxa"/>
          </w:tcPr>
          <w:p w:rsidR="0060381F" w:rsidRPr="0060381F" w:rsidRDefault="0060381F" w:rsidP="0060381F">
            <w:pPr>
              <w:jc w:val="right"/>
            </w:pPr>
            <w:r w:rsidRPr="0060381F">
              <w:t>14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  <w:r w:rsidRPr="0060381F">
              <w:t>40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  <w:r w:rsidRPr="0060381F">
              <w:t>66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</w:pPr>
            <w:r w:rsidRPr="0060381F">
              <w:t>92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212</w:t>
            </w:r>
          </w:p>
        </w:tc>
      </w:tr>
      <w:tr w:rsidR="0060381F" w:rsidRPr="0060381F" w:rsidTr="002A24DD">
        <w:tc>
          <w:tcPr>
            <w:tcW w:w="1668" w:type="dxa"/>
          </w:tcPr>
          <w:p w:rsidR="0060381F" w:rsidRPr="0060381F" w:rsidRDefault="0060381F" w:rsidP="0060381F">
            <w:r w:rsidRPr="0060381F">
              <w:t>HVCH Sales</w:t>
            </w:r>
          </w:p>
        </w:tc>
        <w:tc>
          <w:tcPr>
            <w:tcW w:w="1412" w:type="dxa"/>
          </w:tcPr>
          <w:p w:rsidR="0060381F" w:rsidRPr="0060381F" w:rsidRDefault="0060381F" w:rsidP="0060381F">
            <w:pPr>
              <w:jc w:val="right"/>
            </w:pPr>
            <w:r w:rsidRPr="0060381F">
              <w:t>284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  <w:r w:rsidRPr="0060381F">
              <w:t>843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  <w:r w:rsidRPr="0060381F">
              <w:t>1,391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</w:pPr>
            <w:r w:rsidRPr="0060381F">
              <w:t>1,928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4,446</w:t>
            </w:r>
          </w:p>
        </w:tc>
      </w:tr>
      <w:tr w:rsidR="0060381F" w:rsidRPr="0060381F" w:rsidTr="002A24DD">
        <w:tc>
          <w:tcPr>
            <w:tcW w:w="1668" w:type="dxa"/>
          </w:tcPr>
          <w:p w:rsidR="0060381F" w:rsidRPr="0060381F" w:rsidRDefault="0060381F" w:rsidP="0060381F"/>
        </w:tc>
        <w:tc>
          <w:tcPr>
            <w:tcW w:w="1412" w:type="dxa"/>
          </w:tcPr>
          <w:p w:rsidR="0060381F" w:rsidRPr="0060381F" w:rsidRDefault="0060381F" w:rsidP="0060381F">
            <w:pPr>
              <w:jc w:val="right"/>
            </w:pP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</w:pP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</w:pP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</w:p>
        </w:tc>
      </w:tr>
      <w:tr w:rsidR="0060381F" w:rsidRPr="0060381F" w:rsidTr="0060381F">
        <w:tc>
          <w:tcPr>
            <w:tcW w:w="1668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rPr>
                <w:b/>
              </w:rPr>
            </w:pPr>
            <w:r w:rsidRPr="0060381F">
              <w:rPr>
                <w:b/>
              </w:rPr>
              <w:t>Total</w:t>
            </w:r>
          </w:p>
        </w:tc>
        <w:tc>
          <w:tcPr>
            <w:tcW w:w="1412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3,403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7,118</w:t>
            </w:r>
          </w:p>
        </w:tc>
        <w:tc>
          <w:tcPr>
            <w:tcW w:w="1540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10,677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14,425</w:t>
            </w:r>
          </w:p>
        </w:tc>
        <w:tc>
          <w:tcPr>
            <w:tcW w:w="1541" w:type="dxa"/>
            <w:shd w:val="clear" w:color="auto" w:fill="BFBFBF" w:themeFill="background1" w:themeFillShade="BF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35,623</w:t>
            </w:r>
          </w:p>
        </w:tc>
      </w:tr>
      <w:tr w:rsidR="0060381F" w:rsidRPr="0060381F" w:rsidTr="002A24DD">
        <w:tc>
          <w:tcPr>
            <w:tcW w:w="1668" w:type="dxa"/>
          </w:tcPr>
          <w:p w:rsidR="0060381F" w:rsidRPr="0060381F" w:rsidRDefault="0060381F" w:rsidP="0060381F">
            <w:pPr>
              <w:rPr>
                <w:b/>
              </w:rPr>
            </w:pPr>
          </w:p>
        </w:tc>
        <w:tc>
          <w:tcPr>
            <w:tcW w:w="1412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</w:p>
        </w:tc>
      </w:tr>
      <w:tr w:rsidR="0060381F" w:rsidRPr="0060381F" w:rsidTr="002A24DD">
        <w:tc>
          <w:tcPr>
            <w:tcW w:w="1668" w:type="dxa"/>
          </w:tcPr>
          <w:p w:rsidR="0060381F" w:rsidRPr="0060381F" w:rsidRDefault="0060381F" w:rsidP="0060381F">
            <w:pPr>
              <w:rPr>
                <w:b/>
              </w:rPr>
            </w:pPr>
            <w:r w:rsidRPr="0060381F">
              <w:rPr>
                <w:b/>
              </w:rPr>
              <w:t xml:space="preserve">Saving as percentage of revenue </w:t>
            </w:r>
            <w:r w:rsidRPr="0060381F">
              <w:rPr>
                <w:b/>
              </w:rPr>
              <w:lastRenderedPageBreak/>
              <w:t>spend (%)</w:t>
            </w:r>
          </w:p>
        </w:tc>
        <w:tc>
          <w:tcPr>
            <w:tcW w:w="1412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lastRenderedPageBreak/>
              <w:t>7.9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15.1</w:t>
            </w:r>
          </w:p>
        </w:tc>
        <w:tc>
          <w:tcPr>
            <w:tcW w:w="1540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21.4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27.6</w:t>
            </w:r>
          </w:p>
        </w:tc>
        <w:tc>
          <w:tcPr>
            <w:tcW w:w="1541" w:type="dxa"/>
          </w:tcPr>
          <w:p w:rsidR="0060381F" w:rsidRPr="0060381F" w:rsidRDefault="0060381F" w:rsidP="0060381F">
            <w:pPr>
              <w:jc w:val="right"/>
              <w:rPr>
                <w:b/>
              </w:rPr>
            </w:pPr>
            <w:r w:rsidRPr="0060381F">
              <w:rPr>
                <w:b/>
              </w:rPr>
              <w:t>18.6</w:t>
            </w:r>
          </w:p>
        </w:tc>
      </w:tr>
      <w:tr w:rsidR="002270B4" w:rsidRPr="0060381F" w:rsidTr="002A24DD">
        <w:tc>
          <w:tcPr>
            <w:tcW w:w="1668" w:type="dxa"/>
          </w:tcPr>
          <w:p w:rsidR="002270B4" w:rsidRPr="0060381F" w:rsidRDefault="002270B4" w:rsidP="002A24DD">
            <w:pPr>
              <w:rPr>
                <w:b/>
              </w:rPr>
            </w:pPr>
            <w:r w:rsidRPr="0060381F">
              <w:rPr>
                <w:b/>
              </w:rPr>
              <w:lastRenderedPageBreak/>
              <w:t>Saving as percentage of revenue spend (%)</w:t>
            </w:r>
          </w:p>
        </w:tc>
        <w:tc>
          <w:tcPr>
            <w:tcW w:w="1412" w:type="dxa"/>
          </w:tcPr>
          <w:p w:rsidR="002270B4" w:rsidRPr="0060381F" w:rsidRDefault="002270B4" w:rsidP="0060381F">
            <w:pPr>
              <w:jc w:val="right"/>
              <w:rPr>
                <w:b/>
              </w:rPr>
            </w:pPr>
            <w:r>
              <w:rPr>
                <w:b/>
              </w:rPr>
              <w:t>10.5</w:t>
            </w:r>
          </w:p>
        </w:tc>
        <w:tc>
          <w:tcPr>
            <w:tcW w:w="1540" w:type="dxa"/>
          </w:tcPr>
          <w:p w:rsidR="002270B4" w:rsidRPr="0060381F" w:rsidRDefault="002270B4" w:rsidP="0060381F">
            <w:pPr>
              <w:jc w:val="right"/>
              <w:rPr>
                <w:b/>
              </w:rPr>
            </w:pPr>
            <w:r>
              <w:rPr>
                <w:b/>
              </w:rPr>
              <w:t>19.80</w:t>
            </w:r>
          </w:p>
        </w:tc>
        <w:tc>
          <w:tcPr>
            <w:tcW w:w="1540" w:type="dxa"/>
          </w:tcPr>
          <w:p w:rsidR="002270B4" w:rsidRPr="0060381F" w:rsidRDefault="002270B4" w:rsidP="0060381F">
            <w:pPr>
              <w:jc w:val="right"/>
              <w:rPr>
                <w:b/>
              </w:rPr>
            </w:pPr>
            <w:r>
              <w:rPr>
                <w:b/>
              </w:rPr>
              <w:t>47.3</w:t>
            </w:r>
          </w:p>
        </w:tc>
        <w:tc>
          <w:tcPr>
            <w:tcW w:w="1541" w:type="dxa"/>
          </w:tcPr>
          <w:p w:rsidR="002270B4" w:rsidRPr="0060381F" w:rsidRDefault="002270B4" w:rsidP="0060381F">
            <w:pPr>
              <w:jc w:val="right"/>
              <w:rPr>
                <w:b/>
              </w:rPr>
            </w:pPr>
            <w:r>
              <w:rPr>
                <w:b/>
              </w:rPr>
              <w:t>57.90</w:t>
            </w:r>
          </w:p>
        </w:tc>
        <w:tc>
          <w:tcPr>
            <w:tcW w:w="1541" w:type="dxa"/>
          </w:tcPr>
          <w:p w:rsidR="002270B4" w:rsidRPr="0060381F" w:rsidRDefault="002270B4" w:rsidP="0060381F">
            <w:pPr>
              <w:jc w:val="right"/>
              <w:rPr>
                <w:b/>
              </w:rPr>
            </w:pPr>
            <w:r>
              <w:rPr>
                <w:b/>
              </w:rPr>
              <w:t>30.8</w:t>
            </w:r>
          </w:p>
        </w:tc>
      </w:tr>
    </w:tbl>
    <w:p w:rsidR="00FD22A4" w:rsidRDefault="00FD22A4" w:rsidP="00561108">
      <w:pPr>
        <w:rPr>
          <w:rFonts w:ascii="Arial" w:hAnsi="Arial" w:cs="Arial"/>
          <w:b/>
          <w:sz w:val="24"/>
          <w:szCs w:val="24"/>
        </w:rPr>
      </w:pPr>
    </w:p>
    <w:p w:rsidR="00561108" w:rsidRPr="00561108" w:rsidRDefault="00561108" w:rsidP="00561108">
      <w:pPr>
        <w:rPr>
          <w:rFonts w:ascii="Arial" w:hAnsi="Arial" w:cs="Arial"/>
          <w:b/>
          <w:sz w:val="24"/>
          <w:szCs w:val="24"/>
        </w:rPr>
      </w:pPr>
      <w:r w:rsidRPr="00561108">
        <w:rPr>
          <w:rFonts w:ascii="Arial" w:hAnsi="Arial" w:cs="Arial"/>
          <w:b/>
          <w:sz w:val="24"/>
          <w:szCs w:val="24"/>
        </w:rPr>
        <w:t>Overall position</w:t>
      </w:r>
    </w:p>
    <w:p w:rsidR="00561108" w:rsidRPr="00561108" w:rsidRDefault="00561108" w:rsidP="00561108">
      <w:pPr>
        <w:rPr>
          <w:rFonts w:ascii="Arial" w:hAnsi="Arial" w:cs="Arial"/>
          <w:strike/>
          <w:sz w:val="24"/>
          <w:szCs w:val="24"/>
        </w:rPr>
      </w:pPr>
      <w:r w:rsidRPr="00561108">
        <w:rPr>
          <w:rFonts w:ascii="Arial" w:hAnsi="Arial" w:cs="Arial"/>
          <w:sz w:val="24"/>
          <w:szCs w:val="24"/>
        </w:rPr>
        <w:t xml:space="preserve">The </w:t>
      </w:r>
      <w:r w:rsidR="00E13240">
        <w:rPr>
          <w:rFonts w:ascii="Arial" w:hAnsi="Arial" w:cs="Arial"/>
          <w:sz w:val="24"/>
          <w:szCs w:val="24"/>
        </w:rPr>
        <w:t>initial refresh of</w:t>
      </w:r>
      <w:r w:rsidRPr="00561108">
        <w:rPr>
          <w:rFonts w:ascii="Arial" w:hAnsi="Arial" w:cs="Arial"/>
          <w:sz w:val="24"/>
          <w:szCs w:val="24"/>
        </w:rPr>
        <w:t xml:space="preserve"> the Councils </w:t>
      </w:r>
      <w:r w:rsidR="00E13240">
        <w:rPr>
          <w:rFonts w:ascii="Arial" w:hAnsi="Arial" w:cs="Arial"/>
          <w:sz w:val="24"/>
          <w:szCs w:val="24"/>
        </w:rPr>
        <w:t xml:space="preserve">General Fund </w:t>
      </w:r>
      <w:r w:rsidRPr="00561108">
        <w:rPr>
          <w:rFonts w:ascii="Arial" w:hAnsi="Arial" w:cs="Arial"/>
          <w:sz w:val="24"/>
          <w:szCs w:val="24"/>
        </w:rPr>
        <w:t xml:space="preserve">Medium Term Financial Plan for the </w:t>
      </w:r>
      <w:r w:rsidR="00FD22A4">
        <w:rPr>
          <w:rFonts w:ascii="Arial" w:hAnsi="Arial" w:cs="Arial"/>
          <w:sz w:val="24"/>
          <w:szCs w:val="24"/>
        </w:rPr>
        <w:t>three</w:t>
      </w:r>
      <w:r w:rsidRPr="00561108">
        <w:rPr>
          <w:rFonts w:ascii="Arial" w:hAnsi="Arial" w:cs="Arial"/>
          <w:sz w:val="24"/>
          <w:szCs w:val="24"/>
        </w:rPr>
        <w:t xml:space="preserve"> years ending 31</w:t>
      </w:r>
      <w:r w:rsidRPr="00561108">
        <w:rPr>
          <w:rFonts w:ascii="Arial" w:hAnsi="Arial" w:cs="Arial"/>
          <w:sz w:val="24"/>
          <w:szCs w:val="24"/>
          <w:vertAlign w:val="superscript"/>
        </w:rPr>
        <w:t>st</w:t>
      </w:r>
      <w:r w:rsidRPr="00561108">
        <w:rPr>
          <w:rFonts w:ascii="Arial" w:hAnsi="Arial" w:cs="Arial"/>
          <w:sz w:val="24"/>
          <w:szCs w:val="24"/>
        </w:rPr>
        <w:t xml:space="preserve"> March 20</w:t>
      </w:r>
      <w:r w:rsidR="00FD22A4">
        <w:rPr>
          <w:rFonts w:ascii="Arial" w:hAnsi="Arial" w:cs="Arial"/>
          <w:sz w:val="24"/>
          <w:szCs w:val="24"/>
        </w:rPr>
        <w:t>19</w:t>
      </w:r>
      <w:r w:rsidRPr="00561108">
        <w:rPr>
          <w:rFonts w:ascii="Arial" w:hAnsi="Arial" w:cs="Arial"/>
          <w:sz w:val="24"/>
          <w:szCs w:val="24"/>
        </w:rPr>
        <w:t xml:space="preserve"> indicates deterioration from that approved by Council on 18</w:t>
      </w:r>
      <w:r w:rsidRPr="00561108">
        <w:rPr>
          <w:rFonts w:ascii="Arial" w:hAnsi="Arial" w:cs="Arial"/>
          <w:sz w:val="24"/>
          <w:szCs w:val="24"/>
          <w:vertAlign w:val="superscript"/>
        </w:rPr>
        <w:t>th</w:t>
      </w:r>
      <w:r w:rsidRPr="00561108">
        <w:rPr>
          <w:rFonts w:ascii="Arial" w:hAnsi="Arial" w:cs="Arial"/>
          <w:sz w:val="24"/>
          <w:szCs w:val="24"/>
        </w:rPr>
        <w:t xml:space="preserve"> February</w:t>
      </w:r>
      <w:r w:rsidR="00E13240">
        <w:rPr>
          <w:rFonts w:ascii="Arial" w:hAnsi="Arial" w:cs="Arial"/>
          <w:sz w:val="24"/>
          <w:szCs w:val="24"/>
        </w:rPr>
        <w:t xml:space="preserve"> 2015 of around £</w:t>
      </w:r>
      <w:r w:rsidR="002270B4">
        <w:rPr>
          <w:rFonts w:ascii="Arial" w:hAnsi="Arial" w:cs="Arial"/>
          <w:sz w:val="24"/>
          <w:szCs w:val="24"/>
        </w:rPr>
        <w:t>2.</w:t>
      </w:r>
      <w:r w:rsidR="00FD22A4">
        <w:rPr>
          <w:rFonts w:ascii="Arial" w:hAnsi="Arial" w:cs="Arial"/>
          <w:sz w:val="24"/>
          <w:szCs w:val="24"/>
        </w:rPr>
        <w:t>17</w:t>
      </w:r>
      <w:r w:rsidR="00E13240">
        <w:rPr>
          <w:rFonts w:ascii="Arial" w:hAnsi="Arial" w:cs="Arial"/>
          <w:sz w:val="24"/>
          <w:szCs w:val="24"/>
        </w:rPr>
        <w:t xml:space="preserve"> million. </w:t>
      </w:r>
      <w:r w:rsidR="00FD22A4">
        <w:rPr>
          <w:rFonts w:ascii="Arial" w:hAnsi="Arial" w:cs="Arial"/>
          <w:sz w:val="24"/>
          <w:szCs w:val="24"/>
        </w:rPr>
        <w:t xml:space="preserve">The fourth year of the new plan 2019/20 adds another </w:t>
      </w:r>
      <w:r w:rsidR="00E13240">
        <w:rPr>
          <w:rFonts w:ascii="Arial" w:hAnsi="Arial" w:cs="Arial"/>
          <w:sz w:val="24"/>
          <w:szCs w:val="24"/>
        </w:rPr>
        <w:t xml:space="preserve"> </w:t>
      </w:r>
      <w:r w:rsidR="00FD22A4">
        <w:rPr>
          <w:rFonts w:ascii="Arial" w:hAnsi="Arial" w:cs="Arial"/>
          <w:sz w:val="24"/>
          <w:szCs w:val="24"/>
        </w:rPr>
        <w:t xml:space="preserve">£2.9 million of pressures. </w:t>
      </w:r>
      <w:r w:rsidR="00E13240">
        <w:rPr>
          <w:rFonts w:ascii="Arial" w:hAnsi="Arial" w:cs="Arial"/>
          <w:sz w:val="24"/>
          <w:szCs w:val="24"/>
        </w:rPr>
        <w:t xml:space="preserve">Whilst a change in assumptions around New Homes Bonus and potential Government Grant would improve this position </w:t>
      </w:r>
      <w:r w:rsidR="002270B4">
        <w:rPr>
          <w:rFonts w:ascii="Arial" w:hAnsi="Arial" w:cs="Arial"/>
          <w:sz w:val="24"/>
          <w:szCs w:val="24"/>
        </w:rPr>
        <w:t>i</w:t>
      </w:r>
      <w:r w:rsidRPr="00561108">
        <w:rPr>
          <w:rFonts w:ascii="Arial" w:hAnsi="Arial" w:cs="Arial"/>
          <w:sz w:val="24"/>
          <w:szCs w:val="24"/>
        </w:rPr>
        <w:t>n the absence of further detailed information which is unlikely to be issued by Government until the Comprehensive Spending Review on 25</w:t>
      </w:r>
      <w:r w:rsidRPr="00561108">
        <w:rPr>
          <w:rFonts w:ascii="Arial" w:hAnsi="Arial" w:cs="Arial"/>
          <w:sz w:val="24"/>
          <w:szCs w:val="24"/>
          <w:vertAlign w:val="superscript"/>
        </w:rPr>
        <w:t>th</w:t>
      </w:r>
      <w:r w:rsidRPr="00561108">
        <w:rPr>
          <w:rFonts w:ascii="Arial" w:hAnsi="Arial" w:cs="Arial"/>
          <w:sz w:val="24"/>
          <w:szCs w:val="24"/>
        </w:rPr>
        <w:t xml:space="preserve"> November 2015 there does not seem any grounds to change the assumptions </w:t>
      </w:r>
      <w:r w:rsidR="00E13240">
        <w:rPr>
          <w:rFonts w:ascii="Arial" w:hAnsi="Arial" w:cs="Arial"/>
          <w:sz w:val="24"/>
          <w:szCs w:val="24"/>
        </w:rPr>
        <w:t>made in the existing plan</w:t>
      </w:r>
      <w:r w:rsidR="002270B4">
        <w:rPr>
          <w:rFonts w:ascii="Arial" w:hAnsi="Arial" w:cs="Arial"/>
          <w:sz w:val="24"/>
          <w:szCs w:val="24"/>
        </w:rPr>
        <w:t>. Any additional g</w:t>
      </w:r>
      <w:r w:rsidRPr="00561108">
        <w:rPr>
          <w:rFonts w:ascii="Arial" w:hAnsi="Arial" w:cs="Arial"/>
          <w:sz w:val="24"/>
          <w:szCs w:val="24"/>
        </w:rPr>
        <w:t>rant that is received after 2018 could be used to fund one-off initiatives in the Councils budget</w:t>
      </w:r>
      <w:r w:rsidR="002270B4">
        <w:rPr>
          <w:rFonts w:ascii="Arial" w:hAnsi="Arial" w:cs="Arial"/>
          <w:sz w:val="24"/>
          <w:szCs w:val="24"/>
        </w:rPr>
        <w:t>.</w:t>
      </w:r>
    </w:p>
    <w:p w:rsidR="00561108" w:rsidRDefault="00E13240" w:rsidP="005611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Councils position on HRA is still being evaluated </w:t>
      </w:r>
      <w:r w:rsidR="002270B4">
        <w:rPr>
          <w:rFonts w:ascii="Arial" w:hAnsi="Arial" w:cs="Arial"/>
          <w:sz w:val="24"/>
          <w:szCs w:val="24"/>
        </w:rPr>
        <w:t xml:space="preserve">and there are still parts of the Governments announcements that are yet to be clarified, </w:t>
      </w:r>
      <w:r>
        <w:rPr>
          <w:rFonts w:ascii="Arial" w:hAnsi="Arial" w:cs="Arial"/>
          <w:sz w:val="24"/>
          <w:szCs w:val="24"/>
        </w:rPr>
        <w:t>but there is a strong possibility that this wil</w:t>
      </w:r>
      <w:r w:rsidR="002270B4">
        <w:rPr>
          <w:rFonts w:ascii="Arial" w:hAnsi="Arial" w:cs="Arial"/>
          <w:sz w:val="24"/>
          <w:szCs w:val="24"/>
        </w:rPr>
        <w:t xml:space="preserve">l have a material effect on the future Housing Investment aspirations as well as implications for the Council’s </w:t>
      </w:r>
      <w:r>
        <w:rPr>
          <w:rFonts w:ascii="Arial" w:hAnsi="Arial" w:cs="Arial"/>
          <w:sz w:val="24"/>
          <w:szCs w:val="24"/>
        </w:rPr>
        <w:t xml:space="preserve">General Fund. </w:t>
      </w:r>
    </w:p>
    <w:p w:rsidR="00BE0448" w:rsidRPr="002270B4" w:rsidRDefault="002270B4" w:rsidP="00227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Officers are currently in the middle of budget preparation in accordance with </w:t>
      </w:r>
      <w:r w:rsidR="004C721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timetable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for the Council to approve its budget plans in February 2016.</w:t>
      </w:r>
      <w:r w:rsidR="00FD22A4">
        <w:rPr>
          <w:rFonts w:ascii="Arial" w:hAnsi="Arial" w:cs="Arial"/>
          <w:sz w:val="24"/>
          <w:szCs w:val="24"/>
        </w:rPr>
        <w:t xml:space="preserve"> The current budget being worked on, will review all efficiencies, income streams and pressures over the four year planning period as well as examine a number of larger initiatives aimed at bridging the gap.</w:t>
      </w:r>
    </w:p>
    <w:sectPr w:rsidR="00BE0448" w:rsidRPr="002270B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540" w:rsidRDefault="00D07540" w:rsidP="00D049FD">
      <w:pPr>
        <w:spacing w:after="0" w:line="240" w:lineRule="auto"/>
      </w:pPr>
      <w:r>
        <w:separator/>
      </w:r>
    </w:p>
  </w:endnote>
  <w:endnote w:type="continuationSeparator" w:id="0">
    <w:p w:rsidR="00D07540" w:rsidRDefault="00D07540" w:rsidP="00D0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214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37B" w:rsidRDefault="001913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9FD" w:rsidRDefault="00D04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540" w:rsidRDefault="00D07540" w:rsidP="00D049FD">
      <w:pPr>
        <w:spacing w:after="0" w:line="240" w:lineRule="auto"/>
      </w:pPr>
      <w:r>
        <w:separator/>
      </w:r>
    </w:p>
  </w:footnote>
  <w:footnote w:type="continuationSeparator" w:id="0">
    <w:p w:rsidR="00D07540" w:rsidRDefault="00D07540" w:rsidP="00D04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0CC"/>
    <w:multiLevelType w:val="hybridMultilevel"/>
    <w:tmpl w:val="4A643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AC5"/>
    <w:multiLevelType w:val="hybridMultilevel"/>
    <w:tmpl w:val="077EA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31D7"/>
    <w:multiLevelType w:val="hybridMultilevel"/>
    <w:tmpl w:val="A21C7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724CB"/>
    <w:multiLevelType w:val="hybridMultilevel"/>
    <w:tmpl w:val="98F0B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7D95"/>
    <w:multiLevelType w:val="hybridMultilevel"/>
    <w:tmpl w:val="22F8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C6DA6"/>
    <w:multiLevelType w:val="hybridMultilevel"/>
    <w:tmpl w:val="94A64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5AC3CFA"/>
    <w:multiLevelType w:val="hybridMultilevel"/>
    <w:tmpl w:val="28EC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41A09"/>
    <w:multiLevelType w:val="hybridMultilevel"/>
    <w:tmpl w:val="F278A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D9"/>
    <w:rsid w:val="000432C3"/>
    <w:rsid w:val="000C1FB4"/>
    <w:rsid w:val="000C5B85"/>
    <w:rsid w:val="000E0650"/>
    <w:rsid w:val="000F17D1"/>
    <w:rsid w:val="001053ED"/>
    <w:rsid w:val="00132B9A"/>
    <w:rsid w:val="00142A99"/>
    <w:rsid w:val="0015058E"/>
    <w:rsid w:val="0018541C"/>
    <w:rsid w:val="0019137B"/>
    <w:rsid w:val="0019386D"/>
    <w:rsid w:val="001C74DD"/>
    <w:rsid w:val="00202276"/>
    <w:rsid w:val="00210AA8"/>
    <w:rsid w:val="002270B4"/>
    <w:rsid w:val="00237258"/>
    <w:rsid w:val="00255DD1"/>
    <w:rsid w:val="00323012"/>
    <w:rsid w:val="00345CE8"/>
    <w:rsid w:val="003E4434"/>
    <w:rsid w:val="004B554E"/>
    <w:rsid w:val="004C194F"/>
    <w:rsid w:val="004C7213"/>
    <w:rsid w:val="004F51AD"/>
    <w:rsid w:val="0051227A"/>
    <w:rsid w:val="00513733"/>
    <w:rsid w:val="00555301"/>
    <w:rsid w:val="00561108"/>
    <w:rsid w:val="00590191"/>
    <w:rsid w:val="005E3ABE"/>
    <w:rsid w:val="0060381F"/>
    <w:rsid w:val="00605A64"/>
    <w:rsid w:val="00605F6F"/>
    <w:rsid w:val="006463A7"/>
    <w:rsid w:val="00671239"/>
    <w:rsid w:val="006C3F88"/>
    <w:rsid w:val="006D3339"/>
    <w:rsid w:val="006D3A5A"/>
    <w:rsid w:val="006E40C3"/>
    <w:rsid w:val="00715F11"/>
    <w:rsid w:val="00753FE6"/>
    <w:rsid w:val="007619F6"/>
    <w:rsid w:val="00773684"/>
    <w:rsid w:val="00784173"/>
    <w:rsid w:val="007F4F03"/>
    <w:rsid w:val="008162F0"/>
    <w:rsid w:val="008569B0"/>
    <w:rsid w:val="008732D9"/>
    <w:rsid w:val="0087349C"/>
    <w:rsid w:val="00881B39"/>
    <w:rsid w:val="008A0378"/>
    <w:rsid w:val="00960B79"/>
    <w:rsid w:val="009C7624"/>
    <w:rsid w:val="009E1675"/>
    <w:rsid w:val="00A8083C"/>
    <w:rsid w:val="00AD3C21"/>
    <w:rsid w:val="00AD4170"/>
    <w:rsid w:val="00AE22CB"/>
    <w:rsid w:val="00B22A84"/>
    <w:rsid w:val="00BB2984"/>
    <w:rsid w:val="00BC66D9"/>
    <w:rsid w:val="00BE0448"/>
    <w:rsid w:val="00C3400A"/>
    <w:rsid w:val="00C94AF2"/>
    <w:rsid w:val="00CC67E4"/>
    <w:rsid w:val="00CD4C43"/>
    <w:rsid w:val="00D049FD"/>
    <w:rsid w:val="00D05874"/>
    <w:rsid w:val="00D07540"/>
    <w:rsid w:val="00D12501"/>
    <w:rsid w:val="00D2789D"/>
    <w:rsid w:val="00D70264"/>
    <w:rsid w:val="00D96B3D"/>
    <w:rsid w:val="00D97157"/>
    <w:rsid w:val="00DB595E"/>
    <w:rsid w:val="00DD1402"/>
    <w:rsid w:val="00DF50CA"/>
    <w:rsid w:val="00E13240"/>
    <w:rsid w:val="00E6222A"/>
    <w:rsid w:val="00E705C5"/>
    <w:rsid w:val="00EA58D9"/>
    <w:rsid w:val="00EB2922"/>
    <w:rsid w:val="00ED0EF3"/>
    <w:rsid w:val="00ED1B21"/>
    <w:rsid w:val="00F14C9E"/>
    <w:rsid w:val="00F71584"/>
    <w:rsid w:val="00FB0D02"/>
    <w:rsid w:val="00FC7626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F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3725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FD"/>
  </w:style>
  <w:style w:type="paragraph" w:styleId="Footer">
    <w:name w:val="footer"/>
    <w:basedOn w:val="Normal"/>
    <w:link w:val="FooterChar"/>
    <w:uiPriority w:val="99"/>
    <w:unhideWhenUsed/>
    <w:rsid w:val="00D0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FD"/>
  </w:style>
  <w:style w:type="character" w:styleId="CommentReference">
    <w:name w:val="annotation reference"/>
    <w:basedOn w:val="DefaultParagraphFont"/>
    <w:uiPriority w:val="99"/>
    <w:semiHidden/>
    <w:unhideWhenUsed/>
    <w:rsid w:val="005E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B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60381F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F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37258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FD"/>
  </w:style>
  <w:style w:type="paragraph" w:styleId="Footer">
    <w:name w:val="footer"/>
    <w:basedOn w:val="Normal"/>
    <w:link w:val="FooterChar"/>
    <w:uiPriority w:val="99"/>
    <w:unhideWhenUsed/>
    <w:rsid w:val="00D049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FD"/>
  </w:style>
  <w:style w:type="character" w:styleId="CommentReference">
    <w:name w:val="annotation reference"/>
    <w:basedOn w:val="DefaultParagraphFont"/>
    <w:uiPriority w:val="99"/>
    <w:semiHidden/>
    <w:unhideWhenUsed/>
    <w:rsid w:val="005E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BE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60381F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89BC5A91</Template>
  <TotalTime>2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Nigel.Kennedy</dc:creator>
  <cp:lastModifiedBy>Brown, Andrew J - Oxford City Council</cp:lastModifiedBy>
  <cp:revision>3</cp:revision>
  <dcterms:created xsi:type="dcterms:W3CDTF">2015-09-28T13:24:00Z</dcterms:created>
  <dcterms:modified xsi:type="dcterms:W3CDTF">2015-10-22T09:56:00Z</dcterms:modified>
</cp:coreProperties>
</file>